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neuen Vorbilder der Jugend 2021</w:t>
      </w:r>
    </w:p>
    <w:p>
      <w:pPr>
        <w:pStyle w:val="Title"/>
      </w:pPr>
      <w:r>
        <w:t>Engl. transl.: The new role models of adolescents in 2021</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pStyle w:val="Heading2"/>
      </w:pPr>
      <w:bookmarkStart w:id="10" w:name="_Toc12"/>
      <w:r>
        <w:t>Sample</w:t>
      </w:r>
      <w:bookmarkEnd w:id="10"/>
    </w:p>
    <w:p>
      <w:pPr/>
      <w:r>
        <w:rPr/>
        <w:t xml:space="preserve">400 adolescents (11-17), quoted by age, gender, and formal education</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A study on their role models and ideals.
The study analysed which role models adolescents currently have and which values are important to them.</w:t>
      </w:r>
    </w:p>
    <w:p>
      <w:pPr>
        <w:pStyle w:val="Heading1"/>
      </w:pPr>
      <w:bookmarkStart w:id="14" w:name="_Toc16"/>
      <w:r>
        <w:t>Outcome</w:t>
      </w:r>
      <w:bookmarkEnd w:id="14"/>
    </w:p>
    <w:p>
      <w:pPr/>
      <w:r>
        <w:rPr/>
        <w:t xml:space="preserve">Heroes and heroines are coming back to the life worlds of adolescents. The are not funky super heroes, but they have their origin ind the close environment in which the adolescents live, like parents, grandparents, friends, peers and so on. But a time of heroes is also a time of anti-heroes, people need to be character, not flawless figures. Role models are people with substance, with ideals and willpower. In this context, traditional values and post-traditional leisure activities are becoming relevant again. (Institut für Jugendkulturforschung, 2021, online;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D39D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2025-06-02T22:46:49+00:00</dcterms:created>
  <dcterms:modified xsi:type="dcterms:W3CDTF">2025-06-02T22:46:49+00:00</dcterms:modified>
</cp:coreProperties>
</file>

<file path=docProps/custom.xml><?xml version="1.0" encoding="utf-8"?>
<Properties xmlns="http://schemas.openxmlformats.org/officeDocument/2006/custom-properties" xmlns:vt="http://schemas.openxmlformats.org/officeDocument/2006/docPropsVTypes"/>
</file>