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Erste österreichische Lehrlingsstudie – Welle 3</w:t>
      </w:r>
    </w:p>
    <w:p>
      <w:pPr>
        <w:pStyle w:val="Title"/>
      </w:pPr>
      <w:r>
        <w:t>Engl. transl.: First Austrian Apprenticeship Study - Wave 3</w:t>
      </w:r>
    </w:p>
    <w:p>
      <w:pPr>
        <w:pStyle w:val="Heading1"/>
      </w:pPr>
      <w:bookmarkStart w:id="1" w:name="_Toc3"/>
      <w:r>
        <w:t>Keywords</w:t>
      </w:r>
      <w:bookmarkEnd w:id="1"/>
    </w:p>
    <w:p>
      <w:pPr>
        <w:numPr>
          <w:ilvl w:val="0"/>
          <w:numId w:val="5"/>
        </w:numPr>
      </w:pPr>
      <w:r>
        <w:rPr/>
        <w:t xml:space="preserve">Austrian apprentices</w:t>
      </w:r>
    </w:p>
    <w:p>
      <w:pPr>
        <w:numPr>
          <w:ilvl w:val="0"/>
          <w:numId w:val="5"/>
        </w:numPr>
      </w:pPr>
      <w:r>
        <w:rPr/>
        <w:t xml:space="preserve">working environments</w:t>
      </w:r>
    </w:p>
    <w:p>
      <w:pPr>
        <w:numPr>
          <w:ilvl w:val="0"/>
          <w:numId w:val="5"/>
        </w:numPr>
      </w:pPr>
      <w:r>
        <w:rPr/>
        <w:t xml:space="preserve">living environments</w:t>
      </w:r>
    </w:p>
    <w:p>
      <w:pPr>
        <w:numPr>
          <w:ilvl w:val="0"/>
          <w:numId w:val="5"/>
        </w:numPr>
      </w:pPr>
      <w:r>
        <w:rPr/>
        <w:t xml:space="preserve">media</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Rohrer M.;Hornberger E.;Institut für Jugendkulturforschung</w:t>
      </w:r>
    </w:p>
    <w:p>
      <w:pPr>
        <w:pStyle w:val="Heading2"/>
      </w:pPr>
      <w:bookmarkStart w:id="7" w:name="_Toc9"/>
      <w:r>
        <w:t>Type</w:t>
      </w:r>
      <w:bookmarkEnd w:id="7"/>
    </w:p>
    <w:p>
      <w:pPr/>
      <w:r>
        <w:rPr/>
        <w:t xml:space="preserve">Short report</w:t>
      </w:r>
    </w:p>
    <w:p>
      <w:pPr>
        <w:pStyle w:val="Heading2"/>
      </w:pPr>
      <w:bookmarkStart w:id="8" w:name="_Toc10"/>
      <w:r>
        <w:t>Publisher</w:t>
      </w:r>
      <w:bookmarkEnd w:id="8"/>
    </w:p>
    <w:p>
      <w:pPr/>
      <w:r>
        <w:rPr/>
        <w:t xml:space="preserve">Institut für Jugendkulturforschung</w:t>
      </w:r>
    </w:p>
    <w:p>
      <w:pPr>
        <w:pStyle w:val="Heading2"/>
      </w:pPr>
      <w:bookmarkStart w:id="9" w:name="_Toc11"/>
      <w:r>
        <w:t>Place</w:t>
      </w:r>
      <w:bookmarkEnd w:id="9"/>
    </w:p>
    <w:p>
      <w:pPr/>
      <w:r>
        <w:rPr/>
        <w:t xml:space="preserve">Vienna</w:t>
      </w:r>
    </w:p>
    <w:p>
      <w:pPr>
        <w:pStyle w:val="Heading2"/>
      </w:pPr>
      <w:bookmarkStart w:id="10" w:name="_Toc12"/>
      <w:r>
        <w:t>Topics</w:t>
      </w:r>
      <w:bookmarkEnd w:id="10"/>
    </w:p>
    <w:p>
      <w:pPr>
        <w:numPr>
          <w:ilvl w:val="0"/>
          <w:numId w:val="5"/>
        </w:numPr>
      </w:pPr>
      <w:r>
        <w:rPr/>
        <w:t xml:space="preserve">Learning</w:t>
      </w:r>
    </w:p>
    <w:p>
      <w:pPr>
        <w:numPr>
          <w:ilvl w:val="0"/>
          <w:numId w:val="5"/>
        </w:numPr>
      </w:pPr>
      <w:r>
        <w:rPr/>
        <w:t xml:space="preserve">Content-related issues</w:t>
      </w:r>
    </w:p>
    <w:p>
      <w:pPr>
        <w:numPr>
          <w:ilvl w:val="0"/>
          <w:numId w:val="5"/>
        </w:numPr>
      </w:pPr>
      <w:r>
        <w:rPr/>
        <w:t xml:space="preserve">Internet usage, practices and engagement</w:t>
      </w:r>
    </w:p>
    <w:p>
      <w:pPr>
        <w:numPr>
          <w:ilvl w:val="0"/>
          <w:numId w:val="5"/>
        </w:numPr>
      </w:pPr>
      <w:r>
        <w:rPr/>
        <w:t xml:space="preserve">Digital and socio-cultural environment</w:t>
      </w:r>
    </w:p>
    <w:p>
      <w:pPr>
        <w:numPr>
          <w:ilvl w:val="0"/>
          <w:numId w:val="5"/>
        </w:numPr>
      </w:pPr>
      <w:r>
        <w:rPr/>
        <w:t xml:space="preserve">Other</w:t>
      </w:r>
    </w:p>
    <w:p>
      <w:pPr>
        <w:pStyle w:val="Heading2"/>
      </w:pPr>
      <w:bookmarkStart w:id="11" w:name="_Toc13"/>
      <w:r>
        <w:t>Sample</w:t>
      </w:r>
      <w:bookmarkEnd w:id="11"/>
    </w:p>
    <w:p>
      <w:pPr/>
      <w:r>
        <w:rPr/>
        <w:t xml:space="preserve">400 Austrian apprentices, quoted by gender, and type of apprentice
2 focus groups with female and male apprentices (undisclosed number)</w:t>
      </w:r>
    </w:p>
    <w:p>
      <w:pPr>
        <w:pStyle w:val="Heading2"/>
      </w:pPr>
      <w:bookmarkStart w:id="12" w:name="_Toc14"/>
      <w:r>
        <w:t>Implications For Educators About</w:t>
      </w:r>
      <w:bookmarkEnd w:id="12"/>
    </w:p>
    <w:p>
      <w:pPr/>
      <w:r>
        <w:rPr/>
        <w:t xml:space="preserve">Digital citizenship</w:t>
      </w:r>
    </w:p>
    <w:p>
      <w:pPr>
        <w:pStyle w:val="Heading2"/>
      </w:pPr>
      <w:bookmarkStart w:id="13" w:name="_Toc15"/>
      <w:r>
        <w:t>Implications For Policy Makers About</w:t>
      </w:r>
      <w:bookmarkEnd w:id="13"/>
    </w:p>
    <w:p>
      <w:pPr/>
      <w:r>
        <w:rPr/>
        <w:t xml:space="preserve">Stepping up awareness and empowerment</w:t>
      </w:r>
    </w:p>
    <w:p>
      <w:pPr>
        <w:pStyle w:val="Heading2"/>
      </w:pPr>
      <w:bookmarkStart w:id="14" w:name="_Toc16"/>
      <w:r>
        <w:t>Implications For Stakeholders About</w:t>
      </w:r>
      <w:bookmarkEnd w:id="14"/>
    </w:p>
    <w:p>
      <w:pPr/>
      <w:r>
        <w:rPr/>
        <w:t xml:space="preserve">Industry</w:t>
      </w:r>
    </w:p>
    <w:p>
      <w:pPr>
        <w:pStyle w:val="Heading1"/>
      </w:pPr>
      <w:bookmarkStart w:id="15" w:name="_Toc17"/>
      <w:r>
        <w:t>Abstract</w:t>
      </w:r>
      <w:bookmarkEnd w:id="15"/>
    </w:p>
    <w:p>
      <w:pPr/>
      <w:r>
        <w:rPr/>
        <w:t xml:space="preserve">"The "First Austrian Apprenticeship Study - Wave 3″ provides insights into the working and living environments of Austrian apprentices." (Rohrer/Hornberger, 2018, online; translated by the coder)</w:t>
      </w:r>
    </w:p>
    <w:p>
      <w:pPr>
        <w:pStyle w:val="Heading1"/>
      </w:pPr>
      <w:bookmarkStart w:id="16" w:name="_Toc18"/>
      <w:r>
        <w:t>Outcome</w:t>
      </w:r>
      <w:bookmarkEnd w:id="16"/>
    </w:p>
    <w:p>
      <w:pPr/>
      <w:r>
        <w:rPr/>
        <w:t xml:space="preserve">"Use of YouTube and Instagram: Type of use, intensity of use and relevant content."
"Use of messengers such as WhatsApp or Snapchat for apprentice acquisition as well as in communication with apprentices."
"Evaluation of communication tools or communication aesthetics for apprentice acquisition. Communication profiles for the four largest apprenticeship sectors: Craft and trade, commerce, industry, leisure economy and tourism."
(Rohrer/Hornberger, 2018, online;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4776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2025-10-13T22:07:11+00:00</dcterms:created>
  <dcterms:modified xsi:type="dcterms:W3CDTF">2025-10-13T22:07:11+00:00</dcterms:modified>
</cp:coreProperties>
</file>

<file path=docProps/custom.xml><?xml version="1.0" encoding="utf-8"?>
<Properties xmlns="http://schemas.openxmlformats.org/officeDocument/2006/custom-properties" xmlns:vt="http://schemas.openxmlformats.org/officeDocument/2006/docPropsVTypes"/>
</file>