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Lehrlinge & die soziale Frage</w:t></w:r></w:p><w:p><w:pPr><w:pStyle w:val="Title"/></w:pPr><w:r><w:t>Engl. transl.: Apprentices & the social issue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Austrian apprentices</w:t></w:r></w:p><w:p><w:pPr><w:numPr><w:ilvl w:val="0"/><w:numId w:val="5"/></w:numPr></w:pPr><w:r><w:rPr/><w:t xml:space="preserve">working environments</w:t></w:r></w:p><w:p><w:pPr><w:numPr><w:ilvl w:val="0"/><w:numId w:val="5"/></w:numPr></w:pPr><w:r><w:rPr/><w:t xml:space="preserve">living environments</w:t></w:r></w:p><w:p><w:pPr><w:numPr><w:ilvl w:val="0"/><w:numId w:val="5"/></w:numPr></w:pPr><w:r><w:rPr/><w:t xml:space="preserve">media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2018</w:t></w:r></w:p><w:p><w:pPr><w:pStyle w:val="Heading2"/></w:pPr><w:bookmarkStart w:id="4" w:name="_Toc6"/><w:r><w:t>Issued</w:t></w:r><w:bookmarkEnd w:id="4"/></w:p><w:p><w:pPr/><w:r><w:rPr/><w:t xml:space="preserve">2018</w:t></w:r></w:p><w:p><w:pPr><w:pStyle w:val="Heading2"/></w:pPr><w:bookmarkStart w:id="5" w:name="_Toc7"/><w:r><w:t>Language</w:t></w:r><w:bookmarkEnd w:id="5"/></w:p><w:p><w:pPr/><w:r><w:rPr/><w:t xml:space="preserve">German</w:t></w:r></w:p><w:p><w:pPr><w:pStyle w:val="Heading2"/></w:pPr><w:bookmarkStart w:id="6" w:name="_Toc8"/><w:r><w:t>Authors</w:t></w:r><w:bookmarkEnd w:id="6"/></w:p><w:p><w:pPr/><w:r><w:rPr/><w:t xml:space="preserve">Großegger B.</w:t></w:r></w:p><w:p><w:pPr><w:pStyle w:val="Heading2"/></w:pPr><w:bookmarkStart w:id="7" w:name="_Toc9"/><w:r><w:t>Type</w:t></w:r><w:bookmarkEnd w:id="7"/></w:p><w:p><w:pPr/><w:r><w:rPr/><w:t xml:space="preserve">Report and working paper</w:t></w:r></w:p><w:p><w:pPr><w:pStyle w:val="Heading2"/></w:pPr><w:bookmarkStart w:id="8" w:name="_Toc10"/><w:r><w:t>Publisher</w:t></w:r><w:bookmarkEnd w:id="8"/></w:p><w:p><w:pPr/><w:r><w:rPr/><w:t xml:space="preserve">Institut für Jugendkulturforschung</w:t></w:r></w:p><w:p><w:pPr><w:pStyle w:val="Heading2"/></w:pPr><w:bookmarkStart w:id="9" w:name="_Toc11"/><w:r><w:t>Place</w:t></w:r><w:bookmarkEnd w:id="9"/></w:p><w:p><w:pPr/><w:r><w:rPr/><w:t xml:space="preserve">Vienna</w:t></w:r></w:p><w:p><w:pPr><w:pStyle w:val="Heading2"/></w:pPr><w:bookmarkStart w:id="10" w:name="_Toc12"/><w:r><w:t>Topics</w:t></w:r><w:bookmarkEnd w:id="10"/></w:p><w:p><w:pPr><w:numPr><w:ilvl w:val="0"/><w:numId w:val="5"/></w:numPr></w:pPr><w:r><w:rPr/><w:t xml:space="preserve">Learning</w:t></w:r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Wellbeing</w:t></w:r></w:p><w:p><w:pPr><w:numPr><w:ilvl w:val="0"/><w:numId w:val="5"/></w:numPr></w:pPr><w:r><w:rPr/><w:t xml:space="preserve">Access, inequalities and vulnerabilities</w:t></w:r></w:p><w:p><w:pPr><w:numPr><w:ilvl w:val="0"/><w:numId w:val="5"/></w:numPr></w:pPr><w:r><w:rPr/><w:t xml:space="preserve">Digital and socio-cultural environment</w:t></w:r></w:p><w:p><w:pPr><w:pStyle w:val="Heading2"/></w:pPr><w:bookmarkStart w:id="11" w:name="_Toc13"/><w:r><w:t>Sample</w:t></w:r><w:bookmarkEnd w:id="11"/></w:p><w:p><w:pPr/><w:r><w:rPr/><w:t xml:space="preserve">400 Austrian apprentices, quoted by gender, and type of apprentice
2 focus groups with female and male apprentices (undisclosed number)</w:t></w:r></w:p><w:p><w:pPr><w:pStyle w:val="Heading2"/></w:pPr><w:bookmarkStart w:id="12" w:name="_Toc14"/><w:r><w:t>Implications For Educators About</w:t></w:r><w:bookmarkEnd w:id="12"/></w:p><w:p><w:pPr><w:pStyle w:val="Heading2"/></w:pPr><w:bookmarkStart w:id="13" w:name="_Toc15"/><w:r><w:t>Implications For Policy Makers About</w:t></w:r><w:bookmarkEnd w:id="13"/></w:p><w:p><w:pPr/><w:r><w:rPr/><w:t xml:space="preserve">Stepping up awareness and empowerment</w:t></w:r></w:p><w:p><w:pPr><w:pStyle w:val="Heading2"/></w:pPr><w:bookmarkStart w:id="14" w:name="_Toc16"/><w:r><w:t>Implications For Stakeholders About</w:t></w:r><w:bookmarkEnd w:id="14"/></w:p><w:p><w:pPr><w:pStyle w:val="Heading1"/></w:pPr><w:bookmarkStart w:id="15" w:name="_Toc17"/><w:r><w:t>Abstract</w:t></w:r><w:bookmarkEnd w:id="15"/></w:p><w:p><w:pPr/><w:r><w:rPr/><w:t xml:space="preserve">Die Auswertung befasst sich mit der Rolle von Auszubildenden in der Gesellschaft. Dies umfasst den Blick auf Lebens- und Arbeitsbedingungen, politische Ansichten; Ziele und Freizeit, aber auch der Bedeutung und Nutzung von Medien.
Auszüge oder Zitate aus der Veröffentlichung sind nach Angaben des Rechteinhabers nicht gestattet.</w:t></w:r></w:p><w:p><w:pPr><w:pStyle w:val="Heading1"/></w:pPr><w:bookmarkStart w:id="16" w:name="_Toc18"/><w:r><w:t>Outcome</w:t></w:r><w:bookmarkEnd w:id="16"/></w:p><w:p><w:pPr/><w:r><w:rPr/><w:t xml:space="preserve">The evaluation looks at the role of apprentices in society. This includes looking at living and working conditions, political views; goals and leisure time, but also the importance and use of media.
Excerpts or quotations from the publication are not permitted according to the rights holder.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F4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2025-10-13T21:30:55+00:00</dcterms:created>
  <dcterms:modified xsi:type="dcterms:W3CDTF">2025-10-13T21:30:55+00:00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