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Jugendwertestudie 2020: Der Corona-Report</w:t>
      </w:r>
    </w:p>
    <w:p>
      <w:pPr>
        <w:pStyle w:val="Title"/>
      </w:pPr>
      <w:r>
        <w:t>Engl. transl.: Youth Values Study 2020: The Corona Report</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corona</w:t>
      </w:r>
    </w:p>
    <w:p>
      <w:pPr>
        <w:numPr>
          <w:ilvl w:val="0"/>
          <w:numId w:val="5"/>
        </w:numPr>
      </w:pPr>
      <w:r>
        <w:rPr/>
        <w:t xml:space="preserve">living environments</w:t>
      </w:r>
    </w:p>
    <w:p>
      <w:pPr>
        <w:numPr>
          <w:ilvl w:val="0"/>
          <w:numId w:val="5"/>
        </w:numPr>
      </w:pPr>
      <w:r>
        <w:rPr/>
        <w:t xml:space="preserve">media usage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Heinzlmaier B.;Rohrer M.</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1" w:name="_Toc13"/>
      <w:r>
        <w:t>Sample</w:t>
      </w:r>
      <w:bookmarkEnd w:id="11"/>
    </w:p>
    <w:p>
      <w:pPr/>
      <w:r>
        <w:rPr/>
        <w:t xml:space="preserve">1,000 Austrian adolescents and young adults, quoted by age, gender, formal education, region, and migration background</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Educators About</w:t>
      </w:r>
      <w:bookmarkEnd w:id="13"/>
    </w:p>
    <w:p>
      <w:pPr/>
      <w:r>
        <w:rPr/>
        <w:t xml:space="preserve">Professional development</w:t>
      </w:r>
    </w:p>
    <w:p>
      <w:pPr>
        <w:pStyle w:val="Heading2"/>
      </w:pPr>
      <w:bookmarkStart w:id="14" w:name="_Toc16"/>
      <w:r>
        <w:t>Implications For Policy Makers About</w:t>
      </w:r>
      <w:bookmarkEnd w:id="14"/>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5" w:name="_Toc17"/>
      <w:r>
        <w:t>Other PolicyMaker Implication</w:t>
      </w:r>
      <w:bookmarkEnd w:id="15"/>
    </w:p>
    <w:p>
      <w:pPr/>
      <w:r>
        <w:rPr/>
        <w:t xml:space="preserve">Awareness for the needs of the younger generation</w:t>
      </w:r>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7" w:name="_Toc19"/>
      <w:r>
        <w:t>Abstract</w:t>
      </w:r>
      <w:bookmarkEnd w:id="17"/>
    </w:p>
    <w:p>
      <w:pPr/>
      <w:r>
        <w:rPr/>
        <w:t xml:space="preserve">"Austrian youth during the prescribed CORONA isolation. Institute for Youth Culture Research interviewed 1000 young Austrians about their lives in times of Corona." (Heinzlmaier/Rohrer, 2020, online; translated by the coder)</w:t>
      </w:r>
    </w:p>
    <w:p>
      <w:pPr>
        <w:pStyle w:val="Heading1"/>
      </w:pPr>
      <w:bookmarkStart w:id="18" w:name="_Toc20"/>
      <w:r>
        <w:t>Outcome</w:t>
      </w:r>
      <w:bookmarkEnd w:id="18"/>
    </w:p>
    <w:p>
      <w:pPr/>
      <w:r>
        <w:rPr/>
        <w:t xml:space="preserve">"In uncertain times, young people apparently do not want experiments and therefore fall back on the tried and tested offerings. The figures are clear. 69% of the young Austrians surveyed found out about the topic of "Corona" from Austrian state television. Social media and the daily newspaper DER STANDARD follow far behind. DER STANDARD has a strong presence among the educated classes.
Kronen Zeitung, Puls4 and Heute are the media partners of the less educated strata. With the exception of DER STANDARD, the Austrian print, tabloid and private TV sector has a veritable youth problem."
(Heinzlmaier/Rohrer, 2020, 1; translated by the coder)
Furthermore, video games became strongly more important in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D5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2025-10-13T21:37:01+00:00</dcterms:created>
  <dcterms:modified xsi:type="dcterms:W3CDTF">2025-10-13T21:37:01+00:00</dcterms:modified>
</cp:coreProperties>
</file>

<file path=docProps/custom.xml><?xml version="1.0" encoding="utf-8"?>
<Properties xmlns="http://schemas.openxmlformats.org/officeDocument/2006/custom-properties" xmlns:vt="http://schemas.openxmlformats.org/officeDocument/2006/docPropsVTypes"/>
</file>