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Jugendwertestudie 2020: Der Corona-Report</w:t>
      </w:r>
    </w:p>
    <w:p>
      <w:pPr>
        <w:pStyle w:val="Title"/>
      </w:pPr>
      <w:r>
        <w:t>Engl. transl.: Youth Values Study 2020: The Corona Report</w:t>
      </w:r>
    </w:p>
    <w:p>
      <w:pPr>
        <w:pStyle w:val="Heading1"/>
      </w:pPr>
      <w:bookmarkStart w:id="1" w:name="_Toc3"/>
      <w:r>
        <w:t>Keywords</w:t>
      </w:r>
      <w:bookmarkEnd w:id="1"/>
    </w:p>
    <w:p>
      <w:pPr>
        <w:numPr>
          <w:ilvl w:val="0"/>
          <w:numId w:val="5"/>
        </w:numPr>
      </w:pPr>
      <w:r>
        <w:rPr/>
        <w:t xml:space="preserve">youth</w:t>
      </w:r>
    </w:p>
    <w:p>
      <w:pPr>
        <w:numPr>
          <w:ilvl w:val="0"/>
          <w:numId w:val="5"/>
        </w:numPr>
      </w:pPr>
      <w:r>
        <w:rPr/>
        <w:t xml:space="preserve">corona</w:t>
      </w:r>
    </w:p>
    <w:p>
      <w:pPr>
        <w:numPr>
          <w:ilvl w:val="0"/>
          <w:numId w:val="5"/>
        </w:numPr>
      </w:pPr>
      <w:r>
        <w:rPr/>
        <w:t xml:space="preserve">living environments</w:t>
      </w:r>
    </w:p>
    <w:p>
      <w:pPr>
        <w:numPr>
          <w:ilvl w:val="0"/>
          <w:numId w:val="5"/>
        </w:numPr>
      </w:pPr>
      <w:r>
        <w:rPr/>
        <w:t xml:space="preserve">media usage</w:t>
      </w:r>
    </w:p>
    <w:p>
      <w:pPr>
        <w:pStyle w:val="Heading1"/>
      </w:pPr>
      <w:bookmarkStart w:id="2" w:name="_Toc4"/>
      <w:r>
        <w:t>Details</w:t>
      </w:r>
      <w:bookmarkEnd w:id="2"/>
    </w:p>
    <w:p>
      <w:pPr>
        <w:pStyle w:val="Heading2"/>
      </w:pPr>
      <w:bookmarkStart w:id="3" w:name="_Toc5"/>
      <w:r>
        <w:t>Year</w:t>
      </w:r>
      <w:bookmarkEnd w:id="3"/>
    </w:p>
    <w:p>
      <w:pPr/>
      <w:r>
        <w:rPr/>
        <w:t xml:space="preserve">2020</w:t>
      </w:r>
    </w:p>
    <w:p>
      <w:pPr>
        <w:pStyle w:val="Heading2"/>
      </w:pPr>
      <w:bookmarkStart w:id="4" w:name="_Toc6"/>
      <w:r>
        <w:t>Issued</w:t>
      </w:r>
      <w:bookmarkEnd w:id="4"/>
    </w:p>
    <w:p>
      <w:pPr/>
      <w:r>
        <w:rPr/>
        <w:t xml:space="preserve">2020</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Heinzlmaier B.;Rohrer M.</w:t>
      </w:r>
    </w:p>
    <w:p>
      <w:pPr>
        <w:pStyle w:val="Heading2"/>
      </w:pPr>
      <w:bookmarkStart w:id="7" w:name="_Toc9"/>
      <w:r>
        <w:t>Type</w:t>
      </w:r>
      <w:bookmarkEnd w:id="7"/>
    </w:p>
    <w:p>
      <w:pPr/>
      <w:r>
        <w:rPr/>
        <w:t xml:space="preserve">Short report</w:t>
      </w:r>
    </w:p>
    <w:p>
      <w:pPr>
        <w:pStyle w:val="Heading2"/>
      </w:pPr>
      <w:bookmarkStart w:id="8" w:name="_Toc10"/>
      <w:r>
        <w:t>Publisher</w:t>
      </w:r>
      <w:bookmarkEnd w:id="8"/>
    </w:p>
    <w:p>
      <w:pPr/>
      <w:r>
        <w:rPr/>
        <w:t xml:space="preserve">Institut für Jugendkulturforschung</w:t>
      </w:r>
    </w:p>
    <w:p>
      <w:pPr>
        <w:pStyle w:val="Heading2"/>
      </w:pPr>
      <w:bookmarkStart w:id="9" w:name="_Toc11"/>
      <w:r>
        <w:t>Place</w:t>
      </w:r>
      <w:bookmarkEnd w:id="9"/>
    </w:p>
    <w:p>
      <w:pPr/>
      <w:r>
        <w:rPr/>
        <w:t xml:space="preserve">Vienna</w:t>
      </w:r>
    </w:p>
    <w:p>
      <w:pPr>
        <w:pStyle w:val="Heading2"/>
      </w:pPr>
      <w:bookmarkStart w:id="10" w:name="_Toc12"/>
      <w:r>
        <w:t>Topics</w:t>
      </w:r>
      <w:bookmarkEnd w:id="10"/>
    </w:p>
    <w:p>
      <w:pPr>
        <w:numPr>
          <w:ilvl w:val="0"/>
          <w:numId w:val="5"/>
        </w:numPr>
      </w:pPr>
      <w:r>
        <w:rPr/>
        <w:t xml:space="preserve">Learning</w:t>
      </w:r>
    </w:p>
    <w:p>
      <w:pPr>
        <w:numPr>
          <w:ilvl w:val="0"/>
          <w:numId w:val="5"/>
        </w:numPr>
      </w:pPr>
      <w:r>
        <w:rPr/>
        <w:t xml:space="preserve">Internet usage, practices and engagement</w:t>
      </w:r>
    </w:p>
    <w:p>
      <w:pPr>
        <w:numPr>
          <w:ilvl w:val="0"/>
          <w:numId w:val="5"/>
        </w:numPr>
      </w:pPr>
      <w:r>
        <w:rPr/>
        <w:t xml:space="preserve">Wellbeing</w:t>
      </w:r>
    </w:p>
    <w:p>
      <w:pPr>
        <w:numPr>
          <w:ilvl w:val="0"/>
          <w:numId w:val="5"/>
        </w:numPr>
      </w:pPr>
      <w:r>
        <w:rPr/>
        <w:t xml:space="preserve">Access, inequalities and vulnerabilities</w:t>
      </w:r>
    </w:p>
    <w:p>
      <w:pPr>
        <w:numPr>
          <w:ilvl w:val="0"/>
          <w:numId w:val="5"/>
        </w:numPr>
      </w:pPr>
      <w:r>
        <w:rPr/>
        <w:t xml:space="preserve">Other</w:t>
      </w:r>
    </w:p>
    <w:p>
      <w:pPr>
        <w:pStyle w:val="Heading2"/>
      </w:pPr>
      <w:bookmarkStart w:id="11" w:name="_Toc13"/>
      <w:r>
        <w:t>Sample</w:t>
      </w:r>
      <w:bookmarkEnd w:id="11"/>
    </w:p>
    <w:p>
      <w:pPr/>
      <w:r>
        <w:rPr/>
        <w:t xml:space="preserve">1,000 Austrian adolescents and young adults, quoted by age, gender, formal education, region, and migration background</w:t>
      </w:r>
    </w:p>
    <w:p>
      <w:pPr>
        <w:pStyle w:val="Heading2"/>
      </w:pPr>
      <w:bookmarkStart w:id="12" w:name="_Toc14"/>
      <w:r>
        <w:t>Implications For Parents About</w:t>
      </w:r>
      <w:bookmarkEnd w:id="12"/>
    </w:p>
    <w:p>
      <w:pPr/>
      <w:r>
        <w:rPr/>
        <w:t xml:space="preserve">Parental practices / parental mediation</w:t>
      </w:r>
    </w:p>
    <w:p>
      <w:pPr>
        <w:pStyle w:val="Heading2"/>
      </w:pPr>
      <w:bookmarkStart w:id="13" w:name="_Toc15"/>
      <w:r>
        <w:t>Implications For Educators About</w:t>
      </w:r>
      <w:bookmarkEnd w:id="13"/>
    </w:p>
    <w:p>
      <w:pPr/>
      <w:r>
        <w:rPr/>
        <w:t xml:space="preserve">Professional development</w:t>
      </w:r>
    </w:p>
    <w:p>
      <w:pPr>
        <w:pStyle w:val="Heading2"/>
      </w:pPr>
      <w:bookmarkStart w:id="14" w:name="_Toc16"/>
      <w:r>
        <w:t>Implications For Policy Makers About</w:t>
      </w:r>
      <w:bookmarkEnd w:id="14"/>
    </w:p>
    <w:p>
      <w:pPr>
        <w:numPr>
          <w:ilvl w:val="0"/>
          <w:numId w:val="5"/>
        </w:numPr>
      </w:pPr>
      <w:r>
        <w:rPr/>
        <w:t xml:space="preserve">High-quality content online for children and young people</w:t>
      </w:r>
    </w:p>
    <w:p>
      <w:pPr>
        <w:numPr>
          <w:ilvl w:val="0"/>
          <w:numId w:val="5"/>
        </w:numPr>
      </w:pPr>
      <w:r>
        <w:rPr/>
        <w:t xml:space="preserve">Stepping up awareness and empowerment</w:t>
      </w:r>
    </w:p>
    <w:p>
      <w:pPr>
        <w:numPr>
          <w:ilvl w:val="0"/>
          <w:numId w:val="5"/>
        </w:numPr>
      </w:pPr>
      <w:r>
        <w:rPr/>
        <w:t xml:space="preserve">Other</w:t>
      </w:r>
    </w:p>
    <w:p>
      <w:pPr>
        <w:pStyle w:val="Heading2"/>
      </w:pPr>
      <w:bookmarkStart w:id="15" w:name="_Toc17"/>
      <w:r>
        <w:t>Other PolicyMaker Implication</w:t>
      </w:r>
      <w:bookmarkEnd w:id="15"/>
    </w:p>
    <w:p>
      <w:pPr/>
      <w:r>
        <w:rPr/>
        <w:t xml:space="preserve">Awareness for the needs of the younger generation</w:t>
      </w:r>
    </w:p>
    <w:p>
      <w:pPr>
        <w:pStyle w:val="Heading2"/>
      </w:pPr>
      <w:bookmarkStart w:id="16" w:name="_Toc18"/>
      <w:r>
        <w:t>Implications For Stakeholders About</w:t>
      </w:r>
      <w:bookmarkEnd w:id="16"/>
    </w:p>
    <w:p>
      <w:pPr>
        <w:numPr>
          <w:ilvl w:val="0"/>
          <w:numId w:val="5"/>
        </w:numPr>
      </w:pPr>
      <w:r>
        <w:rPr/>
        <w:t xml:space="preserve">Researchers</w:t>
      </w:r>
    </w:p>
    <w:p>
      <w:pPr>
        <w:numPr>
          <w:ilvl w:val="0"/>
          <w:numId w:val="5"/>
        </w:numPr>
      </w:pPr>
      <w:r>
        <w:rPr/>
        <w:t xml:space="preserve">Industry</w:t>
      </w:r>
    </w:p>
    <w:p>
      <w:pPr>
        <w:numPr>
          <w:ilvl w:val="0"/>
          <w:numId w:val="5"/>
        </w:numPr>
      </w:pPr>
      <w:r>
        <w:rPr/>
        <w:t xml:space="preserve">Healthcare</w:t>
      </w:r>
    </w:p>
    <w:p>
      <w:pPr>
        <w:pStyle w:val="Heading1"/>
      </w:pPr>
      <w:bookmarkStart w:id="17" w:name="_Toc19"/>
      <w:r>
        <w:t>Abstract</w:t>
      </w:r>
      <w:bookmarkEnd w:id="17"/>
    </w:p>
    <w:p>
      <w:pPr/>
      <w:r>
        <w:rPr/>
        <w:t xml:space="preserve">"Austrian youth during the prescribed CORONA isolation. Institute for Youth Culture Research interviewed 1000 young Austrians about their lives in times of Corona." (Heinzlmaier/Rohrer, 2020, online; translated by the coder)</w:t>
      </w:r>
    </w:p>
    <w:p>
      <w:pPr>
        <w:pStyle w:val="Heading1"/>
      </w:pPr>
      <w:bookmarkStart w:id="18" w:name="_Toc20"/>
      <w:r>
        <w:t>Outcome</w:t>
      </w:r>
      <w:bookmarkEnd w:id="18"/>
    </w:p>
    <w:p>
      <w:pPr/>
      <w:r>
        <w:rPr/>
        <w:t xml:space="preserve">"In uncertain times, young people apparently do not want experiments and therefore fall back on the tried and tested offerings. The figures are clear. 69% of the young Austrians surveyed found out about the topic of "Corona" from Austrian state television. Social media and the daily newspaper DER STANDARD follow far behind. DER STANDARD has a strong presence among the educated classes.
Kronen Zeitung, Puls4 and Heute are the media partners of the less educated strata. With the exception of DER STANDARD, the Austrian print, tabloid and private TV sector has a veritable youth problem."
(Heinzlmaier/Rohrer, 2020, 1; translated by the coder)
Furthermore, video games became strongly more important in 2020.</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06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78FDF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2024-05-06T13:28:16+00:00</dcterms:created>
  <dcterms:modified xsi:type="dcterms:W3CDTF">2024-05-06T13:28:16+00:00</dcterms:modified>
</cp:coreProperties>
</file>

<file path=docProps/custom.xml><?xml version="1.0" encoding="utf-8"?>
<Properties xmlns="http://schemas.openxmlformats.org/officeDocument/2006/custom-properties" xmlns:vt="http://schemas.openxmlformats.org/officeDocument/2006/docPropsVTypes"/>
</file>