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Jugendwertestudie 2019. Soziale Medien, Soziale Bewegungen und Politik</w:t>
      </w:r>
    </w:p>
    <w:p>
      <w:pPr>
        <w:pStyle w:val="Title"/>
      </w:pPr>
      <w:r>
        <w:t>Engl. transl.: Youth Values Study 2019. Social Media, Social Movements and Politics</w:t>
      </w:r>
    </w:p>
    <w:p>
      <w:pPr>
        <w:pStyle w:val="Heading1"/>
      </w:pPr>
      <w:bookmarkStart w:id="1" w:name="_Toc3"/>
      <w:r>
        <w:t>Keywords</w:t>
      </w:r>
      <w:bookmarkEnd w:id="1"/>
    </w:p>
    <w:p>
      <w:pPr>
        <w:numPr>
          <w:ilvl w:val="0"/>
          <w:numId w:val="5"/>
        </w:numPr>
      </w:pPr>
      <w:r>
        <w:rPr/>
        <w:t xml:space="preserve">values</w:t>
      </w:r>
    </w:p>
    <w:p>
      <w:pPr>
        <w:numPr>
          <w:ilvl w:val="0"/>
          <w:numId w:val="5"/>
        </w:numPr>
      </w:pPr>
      <w:r>
        <w:rPr/>
        <w:t xml:space="preserve">politics</w:t>
      </w:r>
    </w:p>
    <w:p>
      <w:pPr>
        <w:numPr>
          <w:ilvl w:val="0"/>
          <w:numId w:val="5"/>
        </w:numPr>
      </w:pPr>
      <w:r>
        <w:rPr/>
        <w:t xml:space="preserve">participation</w:t>
      </w:r>
    </w:p>
    <w:p>
      <w:pPr>
        <w:numPr>
          <w:ilvl w:val="0"/>
          <w:numId w:val="5"/>
        </w:numPr>
      </w:pPr>
      <w:r>
        <w:rPr/>
        <w:t xml:space="preserve">social media</w:t>
      </w:r>
    </w:p>
    <w:p>
      <w:pPr>
        <w:numPr>
          <w:ilvl w:val="0"/>
          <w:numId w:val="5"/>
        </w:numPr>
      </w:pPr>
      <w:r>
        <w:rPr/>
        <w:t xml:space="preserve">religio</w:t>
      </w:r>
    </w:p>
    <w:p>
      <w:pPr>
        <w:numPr>
          <w:ilvl w:val="0"/>
          <w:numId w:val="5"/>
        </w:numPr>
      </w:pPr>
      <w:r>
        <w:rPr/>
        <w:t xml:space="preserve">fff</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Issued</w:t>
      </w:r>
      <w:bookmarkEnd w:id="4"/>
    </w:p>
    <w:p>
      <w:pPr/>
      <w:r>
        <w:rPr/>
        <w:t xml:space="preserve">2019</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Heinzlmaier B.;Kohout R.</w:t>
      </w:r>
    </w:p>
    <w:p>
      <w:pPr>
        <w:pStyle w:val="Heading2"/>
      </w:pPr>
      <w:bookmarkStart w:id="7" w:name="_Toc9"/>
      <w:r>
        <w:t>Type</w:t>
      </w:r>
      <w:bookmarkEnd w:id="7"/>
    </w:p>
    <w:p>
      <w:pPr/>
      <w:r>
        <w:rPr/>
        <w:t xml:space="preserve">Short report</w:t>
      </w:r>
    </w:p>
    <w:p>
      <w:pPr>
        <w:pStyle w:val="Heading2"/>
      </w:pPr>
      <w:bookmarkStart w:id="8" w:name="_Toc10"/>
      <w:r>
        <w:t>Publisher</w:t>
      </w:r>
      <w:bookmarkEnd w:id="8"/>
    </w:p>
    <w:p>
      <w:pPr/>
      <w:r>
        <w:rPr/>
        <w:t xml:space="preserve">Institut für Jugendkulturforschung</w:t>
      </w:r>
    </w:p>
    <w:p>
      <w:pPr>
        <w:pStyle w:val="Heading2"/>
      </w:pPr>
      <w:bookmarkStart w:id="9" w:name="_Toc11"/>
      <w:r>
        <w:t>Place</w:t>
      </w:r>
      <w:bookmarkEnd w:id="9"/>
    </w:p>
    <w:p>
      <w:pPr/>
      <w:r>
        <w:rPr/>
        <w:t xml:space="preserve">Vienna</w:t>
      </w:r>
    </w:p>
    <w:p>
      <w:pPr>
        <w:pStyle w:val="Heading2"/>
      </w:pPr>
      <w:bookmarkStart w:id="10" w:name="_Toc12"/>
      <w:r>
        <w:t>Topics</w:t>
      </w:r>
      <w:bookmarkEnd w:id="10"/>
    </w:p>
    <w:p>
      <w:pPr>
        <w:numPr>
          <w:ilvl w:val="0"/>
          <w:numId w:val="5"/>
        </w:numPr>
      </w:pPr>
      <w:r>
        <w:rPr/>
        <w:t xml:space="preserve">Wellbeing</w:t>
      </w:r>
    </w:p>
    <w:p>
      <w:pPr>
        <w:numPr>
          <w:ilvl w:val="0"/>
          <w:numId w:val="5"/>
        </w:numPr>
      </w:pPr>
      <w:r>
        <w:rPr/>
        <w:t xml:space="preserve">Digital and socio-cultural environment</w:t>
      </w:r>
    </w:p>
    <w:p>
      <w:pPr>
        <w:numPr>
          <w:ilvl w:val="0"/>
          <w:numId w:val="5"/>
        </w:numPr>
      </w:pPr>
      <w:r>
        <w:rPr/>
        <w:t xml:space="preserve">Other</w:t>
      </w:r>
    </w:p>
    <w:p>
      <w:pPr>
        <w:pStyle w:val="Heading2"/>
      </w:pPr>
      <w:bookmarkStart w:id="11" w:name="_Toc13"/>
      <w:r>
        <w:t>Sample</w:t>
      </w:r>
      <w:bookmarkEnd w:id="11"/>
    </w:p>
    <w:p>
      <w:pPr/>
      <w:r>
        <w:rPr/>
        <w:t xml:space="preserve">n=1000, rep. for 16- to 29-year-old adolescents and young adults in Austria (quoted by age, gender, formal education, region, and migration background),</w:t>
      </w:r>
    </w:p>
    <w:p>
      <w:pPr>
        <w:pStyle w:val="Heading2"/>
      </w:pPr>
      <w:bookmarkStart w:id="12" w:name="_Toc14"/>
      <w:r>
        <w:t>Implications For Parents About</w:t>
      </w:r>
      <w:bookmarkEnd w:id="12"/>
    </w:p>
    <w:p>
      <w:pPr/>
      <w:r>
        <w:rPr/>
        <w:t xml:space="preserve">Other</w:t>
      </w:r>
    </w:p>
    <w:p>
      <w:pPr>
        <w:pStyle w:val="Heading2"/>
      </w:pPr>
      <w:bookmarkStart w:id="13" w:name="_Toc15"/>
      <w:r>
        <w:t>Other Parent Implication</w:t>
      </w:r>
      <w:bookmarkEnd w:id="13"/>
    </w:p>
    <w:p>
      <w:pPr/>
      <w:r>
        <w:rPr/>
        <w:t xml:space="preserve">Awareness</w:t>
      </w:r>
    </w:p>
    <w:p>
      <w:pPr>
        <w:pStyle w:val="Heading2"/>
      </w:pPr>
      <w:bookmarkStart w:id="14" w:name="_Toc16"/>
      <w:r>
        <w:t>Implications For Educators About</w:t>
      </w:r>
      <w:bookmarkEnd w:id="14"/>
    </w:p>
    <w:p>
      <w:pPr/>
      <w:r>
        <w:rPr/>
        <w:t xml:space="preserve">Other</w:t>
      </w:r>
    </w:p>
    <w:p>
      <w:pPr>
        <w:pStyle w:val="Heading2"/>
      </w:pPr>
      <w:bookmarkStart w:id="15" w:name="_Toc17"/>
      <w:r>
        <w:t>Implications For Policy Makers About</w:t>
      </w:r>
      <w:bookmarkEnd w:id="15"/>
    </w:p>
    <w:p>
      <w:pPr/>
      <w:r>
        <w:rPr/>
        <w:t xml:space="preserve">Stepping up awareness and empowerment</w:t>
      </w:r>
    </w:p>
    <w:p>
      <w:pPr>
        <w:pStyle w:val="Heading2"/>
      </w:pPr>
      <w:bookmarkStart w:id="16" w:name="_Toc18"/>
      <w:r>
        <w:t>Implications For Stakeholders About</w:t>
      </w:r>
      <w:bookmarkEnd w:id="16"/>
    </w:p>
    <w:p>
      <w:pPr/>
      <w:r>
        <w:rPr/>
        <w:t xml:space="preserve">Industry</w:t>
      </w:r>
    </w:p>
    <w:p>
      <w:pPr>
        <w:pStyle w:val="Heading1"/>
      </w:pPr>
      <w:bookmarkStart w:id="17" w:name="_Toc19"/>
      <w:r>
        <w:t>Abstract</w:t>
      </w:r>
      <w:bookmarkEnd w:id="17"/>
    </w:p>
    <w:p>
      <w:pPr/>
      <w:r>
        <w:rPr/>
        <w:t xml:space="preserve">"1,000 16- to 29-year-olds reveal how they deal with Facebook, Instagram and Co., how they view migrants and refugees, which other topics are currently on their mind, what they think of "Fridays For Future", how important family, friends, religion and politics are to them, and what their trust in large companies, religious communities, political parties and the important institutions of the state is like. The study takes a close look at the different thinking and behaviour of migrants and autochthonous young people, as well as members of the educated and less educated classes." (Institut für Jugendkulturforschung, 2019, online; translated by the coder)</w:t>
      </w:r>
    </w:p>
    <w:p>
      <w:pPr>
        <w:pStyle w:val="Heading1"/>
      </w:pPr>
      <w:bookmarkStart w:id="18" w:name="_Toc20"/>
      <w:r>
        <w:t>Outcome</w:t>
      </w:r>
      <w:bookmarkEnd w:id="18"/>
    </w:p>
    <w:p>
      <w:pPr/>
      <w:r>
        <w:rPr/>
        <w:t xml:space="preserve">"The Youth Values Study 2019 does not limit itself to reporting quantitative-empirical results, but shows the reasons for new developments in the fields of "values", "media" and "politics". In addition, we provide suggestions on how to communicate with the target group in order to achieve economic or political objectives." (Heinzlmaier/Kohout, 2019, 1;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AD5B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2025-10-23T02:44:00+00:00</dcterms:created>
  <dcterms:modified xsi:type="dcterms:W3CDTF">2025-10-23T02:44:00+00:00</dcterms:modified>
</cp:coreProperties>
</file>

<file path=docProps/custom.xml><?xml version="1.0" encoding="utf-8"?>
<Properties xmlns="http://schemas.openxmlformats.org/officeDocument/2006/custom-properties" xmlns:vt="http://schemas.openxmlformats.org/officeDocument/2006/docPropsVTypes"/>
</file>