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Medienkompetenz fördern – Lehren und Lernen im digitalen Zeitalter</w:t>
      </w:r>
    </w:p>
    <w:p>
      <w:pPr>
        <w:pStyle w:val="Title"/>
      </w:pPr>
      <w:r>
        <w:t>Engl. transl.: Promoting media literacy - teaching and learning in the digital age</w:t>
      </w:r>
    </w:p>
    <w:p>
      <w:pPr>
        <w:pStyle w:val="Heading1"/>
      </w:pPr>
      <w:bookmarkStart w:id="1" w:name="_Toc3"/>
      <w:r>
        <w:t>Keywords</w:t>
      </w:r>
      <w:bookmarkEnd w:id="1"/>
    </w:p>
    <w:p>
      <w:pPr>
        <w:numPr>
          <w:ilvl w:val="0"/>
          <w:numId w:val="5"/>
        </w:numPr>
      </w:pPr>
      <w:r>
        <w:rPr/>
        <w:t xml:space="preserve">learning</w:t>
      </w:r>
    </w:p>
    <w:p>
      <w:pPr>
        <w:numPr>
          <w:ilvl w:val="0"/>
          <w:numId w:val="5"/>
        </w:numPr>
      </w:pPr>
      <w:r>
        <w:rPr/>
        <w:t xml:space="preserve">teaching</w:t>
      </w:r>
    </w:p>
    <w:p>
      <w:pPr>
        <w:numPr>
          <w:ilvl w:val="0"/>
          <w:numId w:val="5"/>
        </w:numPr>
      </w:pPr>
      <w:r>
        <w:rPr/>
        <w:t xml:space="preserve">media literacy</w:t>
      </w:r>
    </w:p>
    <w:p>
      <w:pPr>
        <w:numPr>
          <w:ilvl w:val="0"/>
          <w:numId w:val="5"/>
        </w:numPr>
      </w:pPr>
      <w:r>
        <w:rPr/>
        <w:t xml:space="preserve">teacher</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http://dx.doi.org/10.17888/nbb2015-2-3</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German</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Editors</w:t>
      </w:r>
      <w:bookmarkEnd w:id="10"/>
    </w:p>
    <w:p>
      <w:pPr/>
      <w:r>
        <w:rPr/>
        <w:t xml:space="preserve">Bruneforth M.;Eder F.;Krainer K.;Schreiner C.;Seel A.;Spiel C.</w:t>
      </w:r>
    </w:p>
    <w:p>
      <w:pPr>
        <w:pStyle w:val="Heading2"/>
      </w:pPr>
      <w:bookmarkStart w:id="11" w:name="_Toc13"/>
      <w:r>
        <w:t>Authors</w:t>
      </w:r>
      <w:bookmarkEnd w:id="11"/>
    </w:p>
    <w:p>
      <w:pPr/>
      <w:r>
        <w:rPr/>
        <w:t xml:space="preserve">Baumgartner P.;Brandhofer G.;Ebner M.;Gradinger P.;Korte M.</w:t>
      </w:r>
    </w:p>
    <w:p>
      <w:pPr>
        <w:pStyle w:val="Heading2"/>
      </w:pPr>
      <w:bookmarkStart w:id="12" w:name="_Toc14"/>
      <w:r>
        <w:t>Type</w:t>
      </w:r>
      <w:bookmarkEnd w:id="12"/>
    </w:p>
    <w:p>
      <w:pPr/>
      <w:r>
        <w:rPr/>
        <w:t xml:space="preserve">Book</w:t>
      </w:r>
    </w:p>
    <w:p>
      <w:pPr>
        <w:pStyle w:val="Heading2"/>
      </w:pPr>
      <w:bookmarkStart w:id="13" w:name="_Toc15"/>
      <w:r>
        <w:t>Book title</w:t>
      </w:r>
      <w:bookmarkEnd w:id="13"/>
    </w:p>
    <w:p>
      <w:pPr/>
      <w:r>
        <w:rPr/>
        <w:t xml:space="preserve">Nationaler Bildungsbericht Österreich 2015. Band 2. Fokussierte Analysen bildungspolitischer Schwerpunktthemen.</w:t>
      </w:r>
    </w:p>
    <w:p>
      <w:pPr>
        <w:pStyle w:val="Heading2"/>
      </w:pPr>
      <w:bookmarkStart w:id="14" w:name="_Toc16"/>
      <w:r>
        <w:t>Publisher</w:t>
      </w:r>
      <w:bookmarkEnd w:id="14"/>
    </w:p>
    <w:p>
      <w:pPr/>
      <w:r>
        <w:rPr/>
        <w:t xml:space="preserve">Bundesministerium für Bildung und Frauen</w:t>
      </w:r>
    </w:p>
    <w:p>
      <w:pPr>
        <w:pStyle w:val="Heading2"/>
      </w:pPr>
      <w:bookmarkStart w:id="15" w:name="_Toc17"/>
      <w:r>
        <w:t>Place</w:t>
      </w:r>
      <w:bookmarkEnd w:id="15"/>
    </w:p>
    <w:p>
      <w:pPr/>
      <w:r>
        <w:rPr/>
        <w:t xml:space="preserve">Vienna</w:t>
      </w:r>
    </w:p>
    <w:p>
      <w:pPr>
        <w:pStyle w:val="Heading2"/>
      </w:pPr>
      <w:bookmarkStart w:id="16" w:name="_Toc18"/>
      <w:r>
        <w:t>Topics</w:t>
      </w:r>
      <w:bookmarkEnd w:id="16"/>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7" w:name="_Toc19"/>
      <w:r>
        <w:t>Sample</w:t>
      </w:r>
      <w:bookmarkEnd w:id="17"/>
    </w:p>
    <w:p>
      <w:pPr/>
      <w:r>
        <w:rPr/>
        <w:t xml:space="preserve">6,264 Teachers</w:t>
      </w:r>
    </w:p>
    <w:p>
      <w:pPr>
        <w:pStyle w:val="Heading2"/>
      </w:pPr>
      <w:bookmarkStart w:id="18" w:name="_Toc20"/>
      <w:r>
        <w:t>Implications For Educators About</w:t>
      </w:r>
      <w:bookmarkEnd w:id="18"/>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Professional development</w:t>
      </w:r>
    </w:p>
    <w:p>
      <w:pPr>
        <w:pStyle w:val="Heading2"/>
      </w:pPr>
      <w:bookmarkStart w:id="19" w:name="_Toc21"/>
      <w:r>
        <w:t>Implications For Policy Makers About</w:t>
      </w:r>
      <w:bookmarkEnd w:id="19"/>
    </w:p>
    <w:p>
      <w:pPr>
        <w:pStyle w:val="Heading2"/>
      </w:pPr>
      <w:bookmarkStart w:id="20" w:name="_Toc22"/>
      <w:r>
        <w:t>Other PolicyMaker Implication</w:t>
      </w:r>
      <w:bookmarkEnd w:id="20"/>
    </w:p>
    <w:p>
      <w:pPr/>
      <w:r>
        <w:rPr/>
        <w:t xml:space="preserve">Creating curricula with regard to ICT</w:t>
      </w:r>
    </w:p>
    <w:p>
      <w:pPr>
        <w:pStyle w:val="Heading1"/>
      </w:pPr>
      <w:bookmarkStart w:id="21" w:name="_Toc23"/>
      <w:r>
        <w:t>Abstract</w:t>
      </w:r>
      <w:bookmarkEnd w:id="21"/>
    </w:p>
    <w:p>
      <w:pPr/>
      <w:r>
        <w:rPr/>
        <w:t xml:space="preserve">"This paper is dedicated to the state of the art in education and training for media literacy with a special focus on interactive digital media. We assume that the use of digital media can initiate and release a number of positive developments, both in teaching and in the learning process, but that the use of technology alone does not guarantee an increase in quality in the education system. The technological possibilities of digital media must be assessed with regard to the realisation of a digital added value. By this we mean the design of media-supported teaching and learning situations that generate an advantage that would not be available without technical support." (Baumgartner et al., 2015, 95; translated by the coder)</w:t>
      </w:r>
    </w:p>
    <w:p>
      <w:pPr>
        <w:pStyle w:val="Heading1"/>
      </w:pPr>
      <w:bookmarkStart w:id="22" w:name="_Toc24"/>
      <w:r>
        <w:t>Outcome</w:t>
      </w:r>
      <w:bookmarkEnd w:id="22"/>
    </w:p>
    <w:p>
      <w:pPr/>
      <w:r>
        <w:rPr/>
        <w:t xml:space="preserve">"Development of an education cloud as a central infrastructure"
"Wide range of media competence for teachers"
"Development of a national research strategy for evidence-based practice"
(Baumgartner, 2015, 121-122;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D0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2025-10-23T08:55:24+00:00</dcterms:created>
  <dcterms:modified xsi:type="dcterms:W3CDTF">2025-10-23T08:55:24+00:00</dcterms:modified>
</cp:coreProperties>
</file>

<file path=docProps/custom.xml><?xml version="1.0" encoding="utf-8"?>
<Properties xmlns="http://schemas.openxmlformats.org/officeDocument/2006/custom-properties" xmlns:vt="http://schemas.openxmlformats.org/officeDocument/2006/docPropsVTypes"/>
</file>