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Sociale medier og ulovlige netværk i gymnasieskolen</w:t>
      </w:r>
    </w:p>
    <w:p>
      <w:pPr>
        <w:pStyle w:val="Title"/>
      </w:pPr>
      <w:r>
        <w:t>Engl. transl.: Social media and illegal networks in high school</w:t>
      </w:r>
    </w:p>
    <w:p>
      <w:pPr>
        <w:pStyle w:val="Heading1"/>
      </w:pPr>
      <w:bookmarkStart w:id="1" w:name="_Toc3"/>
      <w:r>
        <w:t>Keywords</w:t>
      </w:r>
      <w:bookmarkEnd w:id="1"/>
    </w:p>
    <w:p>
      <w:pPr>
        <w:numPr>
          <w:ilvl w:val="0"/>
          <w:numId w:val="5"/>
        </w:numPr>
      </w:pPr>
      <w:r>
        <w:rPr/>
        <w:t xml:space="preserve">Education</w:t>
      </w:r>
    </w:p>
    <w:p>
      <w:pPr>
        <w:numPr>
          <w:ilvl w:val="0"/>
          <w:numId w:val="5"/>
        </w:numPr>
      </w:pPr>
      <w:r>
        <w:rPr/>
        <w:t xml:space="preserve">community</w:t>
      </w:r>
    </w:p>
    <w:p>
      <w:pPr>
        <w:numPr>
          <w:ilvl w:val="0"/>
          <w:numId w:val="5"/>
        </w:numPr>
      </w:pPr>
      <w:r>
        <w:rPr/>
        <w:t xml:space="preserve">networks</w:t>
      </w:r>
    </w:p>
    <w:p>
      <w:pPr>
        <w:numPr>
          <w:ilvl w:val="0"/>
          <w:numId w:val="5"/>
        </w:numPr>
      </w:pPr>
      <w:r>
        <w:rPr/>
        <w:t xml:space="preserve">media</w:t>
      </w:r>
    </w:p>
    <w:p>
      <w:pPr>
        <w:numPr>
          <w:ilvl w:val="0"/>
          <w:numId w:val="5"/>
        </w:numPr>
      </w:pPr>
      <w:r>
        <w:rPr/>
        <w:t xml:space="preserve">prohibition</w:t>
      </w:r>
    </w:p>
    <w:p>
      <w:pPr>
        <w:numPr>
          <w:ilvl w:val="0"/>
          <w:numId w:val="5"/>
        </w:numPr>
      </w:pPr>
      <w:r>
        <w:rPr/>
        <w:t xml:space="preserve">plagiarism</w:t>
      </w:r>
    </w:p>
    <w:p>
      <w:pPr>
        <w:numPr>
          <w:ilvl w:val="0"/>
          <w:numId w:val="5"/>
        </w:numPr>
      </w:pPr>
      <w:r>
        <w:rPr/>
        <w:t xml:space="preserve">produsage.</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https://doi.org/10.7146/mediekultur.v31i59.18597</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Danish</w:t>
      </w:r>
    </w:p>
    <w:p>
      <w:pPr>
        <w:pStyle w:val="Heading2"/>
      </w:pPr>
      <w:bookmarkStart w:id="7" w:name="_Toc9"/>
      <w:r>
        <w:t>Volume</w:t>
      </w:r>
      <w:bookmarkEnd w:id="7"/>
    </w:p>
    <w:p>
      <w:pPr/>
      <w:r>
        <w:rPr/>
        <w:t xml:space="preserve">31</w:t>
      </w:r>
    </w:p>
    <w:p>
      <w:pPr>
        <w:pStyle w:val="Heading2"/>
      </w:pPr>
      <w:bookmarkStart w:id="8" w:name="_Toc10"/>
      <w:r>
        <w:t>Issue</w:t>
      </w:r>
      <w:bookmarkEnd w:id="8"/>
    </w:p>
    <w:p>
      <w:pPr/>
      <w:r>
        <w:rPr/>
        <w:t xml:space="preserve">59</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Editors</w:t>
      </w:r>
      <w:bookmarkEnd w:id="11"/>
    </w:p>
    <w:p>
      <w:pPr/>
      <w:r>
        <w:rPr/>
        <w:t xml:space="preserve"> Søndergaard M.; Guldbrandsen I. T.; Sandvik K.; Thorhauge A. M.; Thorsøe Nielsen H.</w:t>
      </w:r>
    </w:p>
    <w:p>
      <w:pPr>
        <w:pStyle w:val="Heading2"/>
      </w:pPr>
      <w:bookmarkStart w:id="12" w:name="_Toc14"/>
      <w:r>
        <w:t>Authors</w:t>
      </w:r>
      <w:bookmarkEnd w:id="12"/>
    </w:p>
    <w:p>
      <w:pPr/>
      <w:r>
        <w:rPr/>
        <w:t xml:space="preserve">Tække J.;Paulsen M.</w:t>
      </w:r>
    </w:p>
    <w:p>
      <w:pPr>
        <w:pStyle w:val="Heading2"/>
      </w:pPr>
      <w:bookmarkStart w:id="13" w:name="_Toc15"/>
      <w:r>
        <w:t>Type</w:t>
      </w:r>
      <w:bookmarkEnd w:id="13"/>
    </w:p>
    <w:p>
      <w:pPr/>
      <w:r>
        <w:rPr/>
        <w:t xml:space="preserve">Journal article</w:t>
      </w:r>
    </w:p>
    <w:p>
      <w:pPr>
        <w:pStyle w:val="Heading2"/>
      </w:pPr>
      <w:bookmarkStart w:id="14" w:name="_Toc16"/>
      <w:r>
        <w:t>Book title</w:t>
      </w:r>
      <w:bookmarkEnd w:id="14"/>
    </w:p>
    <w:p>
      <w:pPr/>
      <w:r>
        <w:rPr/>
        <w:t xml:space="preserve">Big Data Aesthetics / Big Aesthetics</w:t>
      </w:r>
    </w:p>
    <w:p>
      <w:pPr>
        <w:pStyle w:val="Heading2"/>
      </w:pPr>
      <w:bookmarkStart w:id="15" w:name="_Toc17"/>
      <w:r>
        <w:t>Journal</w:t>
      </w:r>
      <w:bookmarkEnd w:id="15"/>
    </w:p>
    <w:p>
      <w:pPr/>
      <w:r>
        <w:rPr/>
        <w:t xml:space="preserve">MedieKultur: Journal of media and communication research</w:t>
      </w:r>
    </w:p>
    <w:p>
      <w:pPr>
        <w:pStyle w:val="Heading2"/>
      </w:pPr>
      <w:bookmarkStart w:id="16" w:name="_Toc18"/>
      <w:r>
        <w:t>Publisher</w:t>
      </w:r>
      <w:bookmarkEnd w:id="16"/>
    </w:p>
    <w:p>
      <w:pPr/>
      <w:r>
        <w:rPr/>
        <w:t xml:space="preserve">SMID: Society of Media researchers In Denmark</w:t>
      </w:r>
    </w:p>
    <w:p>
      <w:pPr>
        <w:pStyle w:val="Heading2"/>
      </w:pPr>
      <w:bookmarkStart w:id="17" w:name="_Toc19"/>
      <w:r>
        <w:t>Place</w:t>
      </w:r>
      <w:bookmarkEnd w:id="17"/>
    </w:p>
    <w:p>
      <w:pPr/>
      <w:r>
        <w:rPr/>
        <w:t xml:space="preserve">Copenhagen</w:t>
      </w:r>
    </w:p>
    <w:p>
      <w:pPr>
        <w:pStyle w:val="Heading2"/>
      </w:pPr>
      <w:bookmarkStart w:id="18" w:name="_Toc20"/>
      <w:r>
        <w:t>Topics</w:t>
      </w:r>
      <w:bookmarkEnd w:id="18"/>
    </w:p>
    <w:p>
      <w:pPr>
        <w:pStyle w:val="Heading2"/>
      </w:pPr>
      <w:bookmarkStart w:id="19" w:name="_Toc21"/>
      <w:r>
        <w:t>Sample</w:t>
      </w:r>
      <w:bookmarkEnd w:id="19"/>
    </w:p>
    <w:p>
      <w:pPr/>
      <w:r>
        <w:rPr/>
        <w:t xml:space="preserve">Case studies in high schools
Dialogues between teachers and researchers through observations, interviews, questionnaires, and data logging
Comparative empirical studies (questionnaires)
(translated by the coder)</w:t>
      </w:r>
    </w:p>
    <w:p>
      <w:pPr>
        <w:pStyle w:val="Heading2"/>
      </w:pPr>
      <w:bookmarkStart w:id="20" w:name="_Toc22"/>
      <w:r>
        <w:t>Implications For Educators About</w:t>
      </w:r>
      <w:bookmarkEnd w:id="20"/>
    </w:p>
    <w:p>
      <w:pPr>
        <w:pStyle w:val="Heading1"/>
      </w:pPr>
      <w:bookmarkStart w:id="21" w:name="_Toc23"/>
      <w:r>
        <w:t>Abstract</w:t>
      </w:r>
      <w:bookmarkEnd w:id="21"/>
    </w:p>
    <w:p>
      <w:pPr/>
      <w:r>
        <w:rPr/>
        <w:t xml:space="preserve">Th   e  article  describes  how  diff  erent  kinds  of  networks  arise  in  a  upper  secondary  school  class.  We  describe  how  these  networks  secretly  share  results  and  interact  through closed Facebook groups. Further we describe how the teachers try to forbid and  sanctions  such  activities  because  they  understand  them  mainly  as  plagiarism  and  therefore  as  illegal.  Yet,  leading  Internet  researchers  describe  similar  working  methods as progressive, desirable and appropriate to the new digital media environ-ment  (Bruns,  2009;  Jenkins,  2006,  2008,  2013).  Drawing  on  media  sociology  (Mey-rowitz, 1985; Luhmann, 2000, 1999) we claim that the tension between the teachers and  the  new  network  activities  stems  from  the  fact  that  the  present  educational  system has neither developed adequate social structures (especially the formal), nor a mature culture (especially the standards) meeting the new needs, challenges and opportunities  of  the  digital  era.  Empirically  we  base  our  argument  on  the  action  research project Social Media Education – in which we have tried to promote new structures and a new more adequate learning culture among teachers and students.</w:t>
      </w:r>
    </w:p>
    <w:p>
      <w:pPr>
        <w:pStyle w:val="Heading1"/>
      </w:pPr>
      <w:bookmarkStart w:id="22" w:name="_Toc24"/>
      <w:r>
        <w:t>Outcome</w:t>
      </w:r>
      <w:bookmarkEnd w:id="22"/>
    </w:p>
    <w:p>
      <w:pPr/>
      <w:r>
        <w:rPr/>
        <w:t xml:space="preserve">Students are sharing educational information through self-constructed and curated online communities and channels (teaching networks)
The students are using these networks to rewrite and write each others homework
Being a part of these, often polarized networks can decrease certain student's professional and learning progression 
The students are being punished for sharing educational content, especially concerning tests and exams and by that effect, the networks are closed even tighter, both for students and teachers
The collaboration between teachers and students are inhibited by the secret networks
Experimenting with using the network actively in the teaching situation showed that removing punishments and being aware of the existence of the networks is highly necessary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4F4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2025-11-20T01:08:59+00:00</dcterms:created>
  <dcterms:modified xsi:type="dcterms:W3CDTF">2025-11-20T01:08:59+00:00</dcterms:modified>
</cp:coreProperties>
</file>

<file path=docProps/custom.xml><?xml version="1.0" encoding="utf-8"?>
<Properties xmlns="http://schemas.openxmlformats.org/officeDocument/2006/custom-properties" xmlns:vt="http://schemas.openxmlformats.org/officeDocument/2006/docPropsVTypes"/>
</file>