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Die österreichische Jugend in Zeiten von Corona</w:t>
      </w:r>
    </w:p>
    <w:p>
      <w:pPr>
        <w:pStyle w:val="Title"/>
      </w:pPr>
      <w:r>
        <w:t>Engl. transl.: The Austrian Youth in times of Corona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youth</w:t>
      </w:r>
    </w:p>
    <w:p>
      <w:pPr>
        <w:numPr>
          <w:ilvl w:val="0"/>
          <w:numId w:val="5"/>
        </w:numPr>
      </w:pPr>
      <w:r>
        <w:rPr/>
        <w:t xml:space="preserve">corona</w:t>
      </w:r>
    </w:p>
    <w:p>
      <w:pPr>
        <w:numPr>
          <w:ilvl w:val="0"/>
          <w:numId w:val="5"/>
        </w:numPr>
      </w:pPr>
      <w:r>
        <w:rPr/>
        <w:t xml:space="preserve">communication</w:t>
      </w:r>
    </w:p>
    <w:p>
      <w:pPr>
        <w:numPr>
          <w:ilvl w:val="0"/>
          <w:numId w:val="5"/>
        </w:numPr>
      </w:pPr>
      <w:r>
        <w:rPr/>
        <w:t xml:space="preserve">learning</w:t>
      </w:r>
    </w:p>
    <w:p>
      <w:pPr>
        <w:numPr>
          <w:ilvl w:val="0"/>
          <w:numId w:val="5"/>
        </w:numPr>
      </w:pPr>
      <w:r>
        <w:rPr/>
        <w:t xml:space="preserve">media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2020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2020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German</w:t>
      </w:r>
    </w:p>
    <w:p>
      <w:pPr>
        <w:pStyle w:val="Heading2"/>
      </w:pPr>
      <w:bookmarkStart w:id="6" w:name="_Toc8"/>
      <w:r>
        <w:t>Authors</w:t>
      </w:r>
      <w:bookmarkEnd w:id="6"/>
    </w:p>
    <w:p>
      <w:pPr/>
      <w:r>
        <w:rPr/>
        <w:t xml:space="preserve">DocLX;marketagent</w:t>
      </w:r>
    </w:p>
    <w:p>
      <w:pPr>
        <w:pStyle w:val="Heading2"/>
      </w:pPr>
      <w:bookmarkStart w:id="7" w:name="_Toc9"/>
      <w:r>
        <w:t>Type</w:t>
      </w:r>
      <w:bookmarkEnd w:id="7"/>
    </w:p>
    <w:p>
      <w:pPr/>
      <w:r>
        <w:rPr/>
        <w:t xml:space="preserve">Short report</w:t>
      </w:r>
    </w:p>
    <w:p>
      <w:pPr>
        <w:pStyle w:val="Heading2"/>
      </w:pPr>
      <w:bookmarkStart w:id="8" w:name="_Toc10"/>
      <w:r>
        <w:t>Book title</w:t>
      </w:r>
      <w:bookmarkEnd w:id="8"/>
    </w:p>
    <w:p>
      <w:pPr/>
      <w:r>
        <w:rPr/>
        <w:t xml:space="preserve">Die österreichische Jugend in Zeiten von Corona</w:t>
      </w:r>
    </w:p>
    <w:p>
      <w:pPr>
        <w:pStyle w:val="Heading2"/>
      </w:pPr>
      <w:bookmarkStart w:id="9" w:name="_Toc11"/>
      <w:r>
        <w:t>Publisher</w:t>
      </w:r>
      <w:bookmarkEnd w:id="9"/>
    </w:p>
    <w:p>
      <w:pPr/>
      <w:r>
        <w:rPr/>
        <w:t xml:space="preserve">DocLX, marketagent</w:t>
      </w:r>
    </w:p>
    <w:p>
      <w:pPr>
        <w:pStyle w:val="Heading2"/>
      </w:pPr>
      <w:bookmarkStart w:id="10" w:name="_Toc12"/>
      <w:r>
        <w:t>Place</w:t>
      </w:r>
      <w:bookmarkEnd w:id="10"/>
    </w:p>
    <w:p>
      <w:pPr/>
      <w:r>
        <w:rPr/>
        <w:t xml:space="preserve">Vienna</w:t>
      </w:r>
    </w:p>
    <w:p>
      <w:pPr>
        <w:pStyle w:val="Heading2"/>
      </w:pPr>
      <w:bookmarkStart w:id="11" w:name="_Toc13"/>
      <w:r>
        <w:t>Topics</w:t>
      </w:r>
      <w:bookmarkEnd w:id="11"/>
    </w:p>
    <w:p>
      <w:pPr>
        <w:numPr>
          <w:ilvl w:val="0"/>
          <w:numId w:val="5"/>
        </w:numPr>
      </w:pPr>
      <w:r>
        <w:rPr/>
        <w:t xml:space="preserve">Learning</w:t>
      </w:r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Wellbeing</w:t>
      </w:r>
    </w:p>
    <w:p>
      <w:pPr>
        <w:numPr>
          <w:ilvl w:val="0"/>
          <w:numId w:val="5"/>
        </w:numPr>
      </w:pPr>
      <w:r>
        <w:rPr/>
        <w:t xml:space="preserve">Digital and socio-cultural environment</w:t>
      </w:r>
    </w:p>
    <w:p>
      <w:pPr>
        <w:pStyle w:val="Heading2"/>
      </w:pPr>
      <w:bookmarkStart w:id="12" w:name="_Toc14"/>
      <w:r>
        <w:t>Sample</w:t>
      </w:r>
      <w:bookmarkEnd w:id="12"/>
    </w:p>
    <w:p>
      <w:pPr/>
      <w:r>
        <w:rPr/>
        <w:t xml:space="preserve">n = 3.811
Adolescents (14-24), quoted by age, gender, region, and formal education</w:t>
      </w:r>
    </w:p>
    <w:p>
      <w:pPr>
        <w:pStyle w:val="Heading2"/>
      </w:pPr>
      <w:bookmarkStart w:id="13" w:name="_Toc15"/>
      <w:r>
        <w:t>Implications For Educators About</w:t>
      </w:r>
      <w:bookmarkEnd w:id="13"/>
    </w:p>
    <w:p>
      <w:pPr/>
      <w:r>
        <w:rPr/>
        <w:t xml:space="preserve">Other</w:t>
      </w:r>
    </w:p>
    <w:p>
      <w:pPr>
        <w:pStyle w:val="Heading2"/>
      </w:pPr>
      <w:bookmarkStart w:id="14" w:name="_Toc16"/>
      <w:r>
        <w:t>Implications For Policy Makers About</w:t>
      </w:r>
      <w:bookmarkEnd w:id="14"/>
    </w:p>
    <w:p>
      <w:pPr>
        <w:numPr>
          <w:ilvl w:val="0"/>
          <w:numId w:val="5"/>
        </w:numPr>
      </w:pPr>
      <w:r>
        <w:rPr/>
        <w:t xml:space="preserve">High-quality content online for children and young people</w:t>
      </w:r>
    </w:p>
    <w:p>
      <w:pPr>
        <w:numPr>
          <w:ilvl w:val="0"/>
          <w:numId w:val="5"/>
        </w:numPr>
      </w:pPr>
      <w:r>
        <w:rPr/>
        <w:t xml:space="preserve">Stepping up awareness and empowerment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15" w:name="_Toc17"/>
      <w:r>
        <w:t>Other PolicyMaker Implication</w:t>
      </w:r>
      <w:bookmarkEnd w:id="15"/>
    </w:p>
    <w:p>
      <w:pPr/>
      <w:r>
        <w:rPr/>
        <w:t xml:space="preserve">Awareness for the needs of the younger generation</w:t>
      </w:r>
    </w:p>
    <w:p>
      <w:pPr>
        <w:pStyle w:val="Heading2"/>
      </w:pPr>
      <w:bookmarkStart w:id="16" w:name="_Toc18"/>
      <w:r>
        <w:t>Implications For Stakeholders About</w:t>
      </w:r>
      <w:bookmarkEnd w:id="16"/>
    </w:p>
    <w:p>
      <w:pPr>
        <w:pStyle w:val="Heading1"/>
      </w:pPr>
      <w:bookmarkStart w:id="17" w:name="_Toc19"/>
      <w:r>
        <w:t>Abstract</w:t>
      </w:r>
      <w:bookmarkEnd w:id="17"/>
    </w:p>
    <w:p>
      <w:pPr/>
      <w:r>
        <w:rPr/>
        <w:t xml:space="preserve">What attitudes do young people have to the measures against Covid-19 in Austria and how do they deal with them?
What attitudes do young people have towards digital education? 
How do they keep in touch with friends?</w:t>
      </w:r>
    </w:p>
    <w:p>
      <w:pPr>
        <w:pStyle w:val="Heading1"/>
      </w:pPr>
      <w:bookmarkStart w:id="18" w:name="_Toc20"/>
      <w:r>
        <w:t>Outcome</w:t>
      </w:r>
      <w:bookmarkEnd w:id="18"/>
    </w:p>
    <w:p>
      <w:pPr/>
      <w:r>
        <w:rPr/>
        <w:t xml:space="preserve">69.6% are afraid of someone in the family being infected with Corona.
95.6% of the young people think the government's measures are completely right.
80.8% get along with the measures rather well to very well.
94.1% keep in touch with friends via WhatsApp. 73.5% use Instagram and 71.1% also SnapChat.
52.8% make traditional phone calls.
82% of young people currently miss their
their friends.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1423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2025-10-20T06:15:16+00:00</dcterms:created>
  <dcterms:modified xsi:type="dcterms:W3CDTF">2025-10-20T06:15:16+00:00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