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Title"/>
      </w:pPr>
      <w:r>
        <w:t>Social networking sites and low-income teenagers</w:t>
      </w:r>
    </w:p>
    <w:p>
      <w:pPr>
        <w:pStyle w:val="Heading1"/>
      </w:pPr>
      <w:bookmarkStart w:id="1" w:name="_Toc2"/>
      <w:r>
        <w:t>Details</w:t>
      </w:r>
      <w:bookmarkEnd w:id="1"/>
    </w:p>
    <w:p>
      <w:pPr>
        <w:pStyle w:val="Heading2"/>
      </w:pPr>
      <w:bookmarkStart w:id="2" w:name="_Toc3"/>
      <w:r>
        <w:t>Year</w:t>
      </w:r>
      <w:bookmarkEnd w:id="2"/>
    </w:p>
    <w:p>
      <w:pPr/>
      <w:r>
        <w:rPr/>
        <w:t xml:space="preserve">2012</w:t>
      </w:r>
    </w:p>
    <w:p>
      <w:pPr>
        <w:pStyle w:val="Heading2"/>
      </w:pPr>
      <w:bookmarkStart w:id="3" w:name="_Toc4"/>
      <w:r>
        <w:t>Scope</w:t>
      </w:r>
      <w:bookmarkEnd w:id="3"/>
    </w:p>
    <w:p>
      <w:pPr/>
      <w:r>
        <w:rPr/>
        <w:t xml:space="preserve">Local</w:t>
      </w:r>
    </w:p>
    <w:p>
      <w:pPr>
        <w:pStyle w:val="Heading2"/>
      </w:pPr>
      <w:bookmarkStart w:id="4" w:name="_Toc5"/>
      <w:r>
        <w:t>Countries</w:t>
      </w:r>
      <w:bookmarkEnd w:id="4"/>
    </w:p>
    <w:p>
      <w:pPr/>
      <w:r>
        <w:rPr/>
        <w:t xml:space="preserve">Italy</w:t>
      </w:r>
    </w:p>
    <w:p>
      <w:pPr>
        <w:pStyle w:val="Heading2"/>
      </w:pPr>
      <w:bookmarkStart w:id="5" w:name="_Toc6"/>
      <w:r>
        <w:t>Type</w:t>
      </w:r>
      <w:bookmarkEnd w:id="5"/>
    </w:p>
    <w:p>
      <w:pPr/>
      <w:r>
        <w:rPr/>
        <w:t xml:space="preserve">Empirical research – Mixed methods</w:t>
      </w:r>
    </w:p>
    <w:p>
      <w:pPr>
        <w:pStyle w:val="Heading2"/>
      </w:pPr>
      <w:bookmarkStart w:id="6" w:name="_Toc7"/>
      <w:r>
        <w:t>Methodologies</w:t>
      </w:r>
      <w:bookmarkEnd w:id="6"/>
    </w:p>
    <w:p>
      <w:pPr>
        <w:pStyle w:val="Heading2"/>
      </w:pPr>
      <w:bookmarkStart w:id="7" w:name="_Toc8"/>
      <w:r>
        <w:t>Researched Groups</w:t>
      </w:r>
      <w:bookmarkEnd w:id="7"/>
    </w:p>
    <w:p>
      <w:pPr/>
      <w:r>
        <w:rPr/>
        <w:t xml:space="preserve">Children</w:t>
      </w:r>
    </w:p>
    <w:p>
      <w:pPr>
        <w:pStyle w:val="Heading2"/>
      </w:pPr>
      <w:bookmarkStart w:id="8" w:name="_Toc9"/>
      <w:r>
        <w:t>Children Ages</w:t>
      </w:r>
      <w:bookmarkEnd w:id="8"/>
    </w:p>
    <w:p>
      <w:pPr/>
      <w:r>
        <w:rPr/>
        <w:t xml:space="preserve">Adolescents (14-18 Years old)</w:t>
      </w:r>
    </w:p>
    <w:p>
      <w:pPr>
        <w:pStyle w:val="Heading2"/>
      </w:pPr>
      <w:bookmarkStart w:id="9" w:name="_Toc10"/>
      <w:r>
        <w:t>Funder</w:t>
      </w:r>
      <w:bookmarkEnd w:id="9"/>
    </w:p>
    <w:p>
      <w:pPr/>
      <w:r>
        <w:rPr/>
        <w:t xml:space="preserve">Regione Lombardia - European Social Fund</w:t>
      </w:r>
    </w:p>
    <w:p>
      <w:pPr>
        <w:pStyle w:val="Heading2"/>
      </w:pPr>
      <w:bookmarkStart w:id="10" w:name="_Toc11"/>
      <w:r>
        <w:t>Funder Types</w:t>
      </w:r>
      <w:bookmarkEnd w:id="10"/>
    </w:p>
    <w:p>
      <w:pPr>
        <w:pStyle w:val="Heading2"/>
      </w:pPr>
      <w:bookmarkStart w:id="11" w:name="_Toc12"/>
      <w:r>
        <w:t>Informed Consent</w:t>
      </w:r>
      <w:bookmarkEnd w:id="11"/>
    </w:p>
    <w:p>
      <w:pPr/>
      <w:r>
        <w:rPr/>
        <w:t xml:space="preserve">Consent not mentioned</w:t>
      </w:r>
    </w:p>
    <w:p>
      <w:pPr>
        <w:pStyle w:val="Heading2"/>
      </w:pPr>
      <w:bookmarkStart w:id="12" w:name="_Toc13"/>
      <w:r>
        <w:t>Ethics</w:t>
      </w:r>
      <w:bookmarkEnd w:id="12"/>
    </w:p>
    <w:p>
      <w:pPr/>
      <w:r>
        <w:rPr/>
        <w:t xml:space="preserve">Ethical considerations and/or protocol mentioned in the research design</w:t>
      </w:r>
    </w:p>
    <w:p>
      <w:pPr>
        <w:pStyle w:val="Heading2"/>
      </w:pPr>
      <w:bookmarkStart w:id="13" w:name="_Toc14"/>
      <w:r>
        <w:t>Data Set Availability</w:t>
      </w:r>
      <w:bookmarkEnd w:id="13"/>
    </w:p>
    <w:p>
      <w:pPr/>
      <w:r>
        <w:rPr/>
        <w:t xml:space="preserve">Not mentioned</w:t>
      </w:r>
    </w:p>
    <w:p>
      <w:pPr>
        <w:pStyle w:val="Heading1"/>
      </w:pPr>
      <w:bookmarkStart w:id="14" w:name="_Toc15"/>
      <w:r>
        <w:t>Goals</w:t>
      </w:r>
      <w:bookmarkEnd w:id="14"/>
    </w:p>
    <w:p>
      <w:pPr/>
      <w:r>
        <w:rPr/>
        <w:t xml:space="preserve">The research was driven by three main questions: (1) Does socio-economic background shape how teenagers use SNSs? (2) How do teenagers make sense of Facebook and does this vary as a function of their socio-economic status? (3) To what extent do social media usage patterns confirm or challenge established findings in digital divide research?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leftRight"/>
    </w:pPr>
    <w:r>
      <w:rPr/>
      <w:t xml:space="preserve">CO:RE Evidence Base	Downloaded on 25 Apr 2024</w:t>
    </w:r>
  </w:p>
  <w:p>
    <w:pPr/>
    <w:r>
      <w:rPr/>
      <w:t xml:space="preserve">Study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Title">
    <w:link w:val="titleChar"/>
    <w:name w:val="title"/>
    <w:basedOn w:val="Normal"/>
    <w:pPr>
      <w:spacing w:after="400"/>
    </w:pPr>
    <w:rPr>
      <w:sz w:val="32"/>
      <w:szCs w:val="32"/>
      <w:b w:val="1"/>
      <w:bCs w:val="1"/>
    </w:rPr>
  </w:style>
  <w:style w:type="paragraph" w:styleId="Heading1">
    <w:link w:val="Heading1Char"/>
    <w:name w:val="heading 1"/>
    <w:basedOn w:val="Normal"/>
    <w:pPr>
      <w:spacing w:before="480"/>
    </w:pPr>
    <w:rPr>
      <w:sz w:val="24"/>
      <w:szCs w:val="24"/>
      <w:b w:val="1"/>
      <w:bCs w:val="1"/>
    </w:rPr>
  </w:style>
  <w:style w:type="paragraph" w:styleId="Heading2">
    <w:link w:val="Heading2Char"/>
    <w:name w:val="heading 2"/>
    <w:basedOn w:val="Normal"/>
    <w:pPr>
      <w:spacing w:before="200"/>
    </w:pPr>
    <w:rPr>
      <w:sz w:val="20"/>
      <w:szCs w:val="20"/>
      <w:b w:val="1"/>
      <w:bCs w:val="1"/>
    </w:rPr>
  </w:style>
  <w:style w:type="paragraph" w:customStyle="1" w:styleId="leftRight">
    <w:name w:val="leftRight"/>
    <w:basedOn w:val="Normal"/>
    <w:pPr>
      <w:tabs>
        <w:tab w:val="right" w:leader="none" w:pos="9025.51181102362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2024-04-25T23:04:37+00:00</dcterms:created>
  <dcterms:modified xsi:type="dcterms:W3CDTF">2024-04-25T23:04:37+00:00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