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Bewegtbildnutzung bei Kindern</w:t>
      </w:r>
    </w:p>
    <w:p>
      <w:pPr>
        <w:pStyle w:val="Title"/>
      </w:pPr>
      <w:r>
        <w:t>Engl. transl.: Children's video content usage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Year</w:t>
      </w:r>
      <w:bookmarkEnd w:id="2"/>
    </w:p>
    <w:p>
      <w:pPr/>
      <w:r>
        <w:rPr/>
        <w:t xml:space="preserve">2017</w:t>
      </w:r>
    </w:p>
    <w:p>
      <w:pPr>
        <w:pStyle w:val="Heading2"/>
      </w:pPr>
      <w:bookmarkStart w:id="3" w:name="_Toc5"/>
      <w:r>
        <w:t>Scope</w:t>
      </w:r>
      <w:bookmarkEnd w:id="3"/>
    </w:p>
    <w:p>
      <w:pPr/>
      <w:r>
        <w:rPr/>
        <w:t xml:space="preserve">National</w:t>
      </w:r>
    </w:p>
    <w:p>
      <w:pPr>
        <w:pStyle w:val="Heading2"/>
      </w:pPr>
      <w:bookmarkStart w:id="4" w:name="_Toc6"/>
      <w:r>
        <w:t>Countries</w:t>
      </w:r>
      <w:bookmarkEnd w:id="4"/>
    </w:p>
    <w:p>
      <w:pPr/>
      <w:r>
        <w:rPr/>
        <w:t xml:space="preserve">Germany</w:t>
      </w:r>
    </w:p>
    <w:p>
      <w:pPr>
        <w:pStyle w:val="Heading2"/>
      </w:pPr>
      <w:bookmarkStart w:id="5" w:name="_Toc7"/>
      <w:r>
        <w:t>Type</w:t>
      </w:r>
      <w:bookmarkEnd w:id="5"/>
    </w:p>
    <w:p>
      <w:pPr/>
      <w:r>
        <w:rPr/>
        <w:t xml:space="preserve">Empirical research – Mixed methods</w:t>
      </w:r>
    </w:p>
    <w:p>
      <w:pPr>
        <w:pStyle w:val="Heading2"/>
      </w:pPr>
      <w:bookmarkStart w:id="6" w:name="_Toc8"/>
      <w:r>
        <w:t>Methodologies</w:t>
      </w:r>
      <w:bookmarkEnd w:id="6"/>
    </w:p>
    <w:p>
      <w:pPr>
        <w:numPr>
          <w:ilvl w:val="0"/>
          <w:numId w:val="5"/>
        </w:numPr>
      </w:pPr>
      <w:r>
        <w:rPr/>
        <w:t xml:space="preserve">Interview</w:t>
      </w:r>
    </w:p>
    <w:p>
      <w:pPr>
        <w:numPr>
          <w:ilvl w:val="0"/>
          <w:numId w:val="5"/>
        </w:numPr>
      </w:pPr>
      <w:r>
        <w:rPr/>
        <w:t xml:space="preserve">Experimental / Quasi-experimental</w:t>
      </w:r>
    </w:p>
    <w:p>
      <w:pPr>
        <w:numPr>
          <w:ilvl w:val="0"/>
          <w:numId w:val="5"/>
        </w:numPr>
      </w:pPr>
      <w:r>
        <w:rPr/>
        <w:t xml:space="preserve">Media diaries</w:t>
      </w:r>
    </w:p>
    <w:p>
      <w:pPr>
        <w:numPr>
          <w:ilvl w:val="0"/>
          <w:numId w:val="5"/>
        </w:numPr>
      </w:pPr>
      <w:r>
        <w:rPr/>
        <w:t xml:space="preserve">Survey</w:t>
      </w:r>
    </w:p>
    <w:p>
      <w:pPr>
        <w:pStyle w:val="Heading2"/>
      </w:pPr>
      <w:bookmarkStart w:id="7" w:name="_Toc9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10"/>
      <w:r>
        <w:t>Children Ages</w:t>
      </w:r>
      <w:bookmarkEnd w:id="8"/>
    </w:p>
    <w:p>
      <w:pPr>
        <w:numPr>
          <w:ilvl w:val="0"/>
          <w:numId w:val="5"/>
        </w:numPr>
      </w:pPr>
      <w:r>
        <w:rPr/>
        <w:t xml:space="preserve">Preschool (0-5 Years old)</w:t>
      </w:r>
    </w:p>
    <w:p>
      <w:pPr>
        <w:numPr>
          <w:ilvl w:val="0"/>
          <w:numId w:val="5"/>
        </w:numPr>
      </w:pPr>
      <w:r>
        <w:rPr/>
        <w:t xml:space="preserve">Kids (6-10 Years old)</w:t>
      </w:r>
    </w:p>
    <w:p>
      <w:pPr>
        <w:numPr>
          <w:ilvl w:val="0"/>
          <w:numId w:val="5"/>
        </w:numPr>
      </w:pPr>
      <w:r>
        <w:rPr/>
        <w:t xml:space="preserve">Pre-adolescents (11-13 Years old)</w:t>
      </w:r>
    </w:p>
    <w:p>
      <w:pPr>
        <w:pStyle w:val="Heading2"/>
      </w:pPr>
      <w:bookmarkStart w:id="9" w:name="_Toc11"/>
      <w:r>
        <w:t>Funder</w:t>
      </w:r>
      <w:bookmarkEnd w:id="9"/>
    </w:p>
    <w:p>
      <w:pPr/>
      <w:r>
        <w:rPr/>
        <w:t xml:space="preserve">ZDF, ARD, KiKA</w:t>
      </w:r>
    </w:p>
    <w:p>
      <w:pPr>
        <w:pStyle w:val="Heading2"/>
      </w:pPr>
      <w:bookmarkStart w:id="10" w:name="_Toc12"/>
      <w:r>
        <w:t>Funder Types</w:t>
      </w:r>
      <w:bookmarkEnd w:id="10"/>
    </w:p>
    <w:p>
      <w:pPr/>
      <w:r>
        <w:rPr/>
        <w:t xml:space="preserve">Other</w:t>
      </w:r>
    </w:p>
    <w:p>
      <w:pPr>
        <w:pStyle w:val="Heading2"/>
      </w:pPr>
      <w:bookmarkStart w:id="11" w:name="_Toc13"/>
      <w:r>
        <w:t>Other Funder Type</w:t>
      </w:r>
      <w:bookmarkEnd w:id="11"/>
    </w:p>
    <w:p>
      <w:pPr/>
      <w:r>
        <w:rPr/>
        <w:t xml:space="preserve">public broadcaster</w:t>
      </w:r>
    </w:p>
    <w:p>
      <w:pPr>
        <w:pStyle w:val="Heading2"/>
      </w:pPr>
      <w:bookmarkStart w:id="12" w:name="_Toc14"/>
      <w:r>
        <w:t>Informed Consent</w:t>
      </w:r>
      <w:bookmarkEnd w:id="12"/>
    </w:p>
    <w:p>
      <w:pPr/>
      <w:r>
        <w:rPr/>
        <w:t xml:space="preserve">Consent not mentioned</w:t>
      </w:r>
    </w:p>
    <w:p>
      <w:pPr>
        <w:pStyle w:val="Heading2"/>
      </w:pPr>
      <w:bookmarkStart w:id="13" w:name="_Toc15"/>
      <w:r>
        <w:t>Ethics</w:t>
      </w:r>
      <w:bookmarkEnd w:id="13"/>
    </w:p>
    <w:p>
      <w:pPr/>
      <w:r>
        <w:rPr/>
        <w:t xml:space="preserve">Ethical considerations not mentioned</w:t>
      </w:r>
    </w:p>
    <w:p>
      <w:pPr>
        <w:pStyle w:val="Heading2"/>
      </w:pPr>
      <w:bookmarkStart w:id="14" w:name="_Toc16"/>
      <w:r>
        <w:t>Data Set Availability</w:t>
      </w:r>
      <w:bookmarkEnd w:id="14"/>
    </w:p>
    <w:p>
      <w:pPr/>
      <w:r>
        <w:rPr/>
        <w:t xml:space="preserve">Not mentioned</w:t>
      </w:r>
    </w:p>
    <w:p>
      <w:pPr>
        <w:pStyle w:val="Heading1"/>
      </w:pPr>
      <w:bookmarkStart w:id="15" w:name="_Toc17"/>
      <w:r>
        <w:t>Goals</w:t>
      </w:r>
      <w:bookmarkEnd w:id="15"/>
    </w:p>
    <w:p>
      <w:pPr/>
      <w:r>
        <w:rPr/>
        <w:t xml:space="preserve">The study aims to explore if the growing number of devices to access video content is changing consumer behaviour. 
Research questions: 
"How do families and children deal with the growing number of video content sources? 
How does the medial life change and which usage patterns develop?" (Frey-Vor, Schumacher, Weisser and Kluge 2019, 534; translated by the coder)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26 Apr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1D092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2024-04-26T09:10:29+00:00</dcterms:created>
  <dcterms:modified xsi:type="dcterms:W3CDTF">2024-04-26T09:10:29+00:00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