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Bewegtbildnutzung bei Kindern</w:t>
      </w:r>
    </w:p>
    <w:p>
      <w:pPr>
        <w:pStyle w:val="Title"/>
      </w:pPr>
      <w:r>
        <w:t>Engl. transl.: Children's video content usage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Germany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Experimental / Quasi-experimental</w:t>
      </w:r>
    </w:p>
    <w:p>
      <w:pPr>
        <w:numPr>
          <w:ilvl w:val="0"/>
          <w:numId w:val="5"/>
        </w:numPr>
      </w:pPr>
      <w:r>
        <w:rPr/>
        <w:t xml:space="preserve">Media diaries</w:t>
      </w:r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Preschool (0-5 Years old)</w:t>
      </w:r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ZDF, ARD, KiKA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Other</w:t>
      </w:r>
    </w:p>
    <w:p>
      <w:pPr>
        <w:pStyle w:val="Heading2"/>
      </w:pPr>
      <w:bookmarkStart w:id="11" w:name="_Toc13"/>
      <w:r>
        <w:t>Other Funder Type</w:t>
      </w:r>
      <w:bookmarkEnd w:id="11"/>
    </w:p>
    <w:p>
      <w:pPr/>
      <w:r>
        <w:rPr/>
        <w:t xml:space="preserve">public broadcaster</w:t>
      </w:r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6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The study aims to explore if the growing number of devices to access video content is changing consumer behaviour. 
Research questions: 
"How do families and children deal with the growing number of video content sources? 
How does the medial life change and which usage patterns develop?" (Frey-Vor, Schumacher, Weisser and Kluge 2019, 534; translated by the coder)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13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600E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2025-11-13T15:21:11+00:00</dcterms:created>
  <dcterms:modified xsi:type="dcterms:W3CDTF">2025-11-13T15:21:11+00:00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