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 morele attitudes van preadolescenten op het gebied van online privacy: de mediërende en interagerende rol  van leeftijd, gender identiteit en familiecultuur</w:t>
      </w:r>
    </w:p>
    <w:p>
      <w:pPr>
        <w:pStyle w:val="Title"/>
      </w:pPr>
      <w:r>
        <w:t>Engl. transl.: Pre-adolescents' moral attitudes to online privacy: the mediating and interacting role of age, gender identity and family culture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9-14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FWO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Regional Government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This project investigates the moral values of pre-adolescents (9-14 year olds) taking into account online privacy in social interaction on the Internet and the mediating role of age, gender identity and family culture in this regard.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2025-10-16T02:43:36+00:00</dcterms:created>
  <dcterms:modified xsi:type="dcterms:W3CDTF">2025-10-16T02:43:36+00:00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