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Students' critical analyses of prominent perspectives in a digital multimodal text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Design Research Approach with video and audio recordings, field notes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Adolescents (14-18 Years old)</w:t>
      </w:r>
    </w:p>
    <w:p>
      <w:pPr>
        <w:pStyle w:val="Heading2"/>
      </w:pPr>
      <w:bookmarkStart w:id="10" w:name="_Toc11"/>
      <w:r>
        <w:t>Consents</w:t>
      </w:r>
      <w:bookmarkEnd w:id="10"/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4"/>
      <w:r>
        <w:t>URL</w:t>
      </w:r>
      <w:bookmarkEnd w:id="13"/>
    </w:p>
    <w:p>
      <w:pPr/>
      <w:r>
        <w:rPr/>
        <w:t xml:space="preserve">https://www.idunn.no/dk/2020/03/students_critical_analyses_of_prominent_perspectives_in_a_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"How does deconstructing a video clip enable students to become critically aware of how perspectives become prominent in a digital multimodal text?" (Authors, 154)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27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2025-10-27T20:35:37+00:00</dcterms:created>
  <dcterms:modified xsi:type="dcterms:W3CDTF">2025-10-27T20:35:37+00:00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