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Makerskola</w:t>
      </w:r>
    </w:p>
    <w:p>
      <w:pPr>
        <w:pStyle w:val="Title"/>
      </w:pPr>
      <w:r>
        <w:t>Engl. transl.: The Makerspace project in schools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10"/>
      <w:r>
        <w:t>Funder</w:t>
      </w:r>
      <w:bookmarkEnd w:id="8"/>
    </w:p>
    <w:p>
      <w:pPr/>
      <w:r>
        <w:rPr/>
        <w:t xml:space="preserve">the Swedish innovation agency</w:t>
      </w:r>
    </w:p>
    <w:p>
      <w:pPr>
        <w:pStyle w:val="Heading2"/>
      </w:pPr>
      <w:bookmarkStart w:id="9" w:name="_Toc11"/>
      <w:r>
        <w:t>Funder Types</w:t>
      </w:r>
      <w:bookmarkEnd w:id="9"/>
    </w:p>
    <w:p>
      <w:pPr/>
      <w:r>
        <w:rPr/>
        <w:t xml:space="preserve">National Research Council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https://makerskola.se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The Makerspace project in schools is developing a new subject-specific methodology for creation with IT as material.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2025-10-27T17:23:24+00:00</dcterms:created>
  <dcterms:modified xsi:type="dcterms:W3CDTF">2025-10-27T17:23:24+00:00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