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Polskie badanie EU Kids Online 2018. Najważniejsze wyniki i wnioski</w:t>
      </w:r>
    </w:p>
    <w:p>
      <w:pPr>
        <w:pStyle w:val="Title"/>
      </w:pPr>
      <w:r>
        <w:t>Engl. transl.: Polish EU Kids Online 2018 survey. The most important results and conclusions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Fundacja Orange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https://depot.ceon.pl/handle/123456789/17037?show=full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image of young people in the context of using the Internet is not unambiguous - a positive, but also dysfunctional role is clearly visible in it. Young people do not appear universally as constructive and creative users of the Internet. There is no such thing as a "typical" teenager using the Internet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EC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2025-10-15T23:07:21+00:00</dcterms:created>
  <dcterms:modified xsi:type="dcterms:W3CDTF">2025-10-15T23:07:21+00:00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