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Entering the black box of feedback neglect in a digital educational game for elementary school students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Survey</w:t>
      </w:r>
    </w:p>
    <w:p>
      <w:pPr>
        <w:numPr>
          <w:ilvl w:val="0"/>
          <w:numId w:val="5"/>
        </w:numPr>
      </w:pPr>
      <w:r>
        <w:rPr/>
        <w:t xml:space="preserve">Ethnography / participant observation</w:t>
      </w:r>
    </w:p>
    <w:p>
      <w:pPr>
        <w:numPr>
          <w:ilvl w:val="0"/>
          <w:numId w:val="5"/>
        </w:numPr>
      </w:pPr>
      <w:r>
        <w:rPr/>
        <w:t xml:space="preserve">Tracking data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Pre-adolescents (11-13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Marcus and Amalia Wallenberg Foundation; Marianne and Marcus Wallenberg Foundation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Foundation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"RQ1:  At what stages during feedback processing do students neglect CCF? Specifically, we ask the following: (i) Do they neglect CCF in the sense of not noticing it?; (ii) Do they notice CCF but fail to decode it (in our case, not read the CCF-text they have noticed)?; (iii) Do they notice CCF, but fail to decode it (in our case, not read the CCF-text they have noticed)?; (iv) Do they decode CCF, but fail to act on it?; and (v) Do they act on CCF, but fail to make progress at their attempt to revise the task? Our secondary research question, RQ2 became: What difference can be found at each of these stages depending on how the CCF is signaled—via a pedagogical agent, an arrow, or not at all?" (Authors, in "Formulating the research questions")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7C7A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2025-10-19T00:09:51+00:00</dcterms:created>
  <dcterms:modified xsi:type="dcterms:W3CDTF">2025-10-19T00:09:51+00:00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