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Design för digital didaktik - vilka designer av undervisningspraktiken stödjer djuplärande i samexisterande lärmiljöer?</w:t>
      </w:r>
    </w:p>
    <w:p>
      <w:pPr>
        <w:pStyle w:val="Title"/>
      </w:pPr>
      <w:r>
        <w:t>Engl. transl.: Designs of Digital Didactics: What Designs of Teaching Practices Enable Deeper Learning in Co-located Settings?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numPr>
          <w:ilvl w:val="0"/>
          <w:numId w:val="5"/>
        </w:numPr>
      </w:pPr>
      <w:r>
        <w:rPr/>
        <w:t xml:space="preserve">Finland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[Project informaton not available]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Teachers / Educators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Research Council</w:t>
      </w:r>
    </w:p>
    <w:p>
      <w:pPr>
        <w:pStyle w:val="Heading2"/>
      </w:pPr>
      <w:bookmarkStart w:id="12" w:name="_Toc14"/>
      <w:r>
        <w:t>Has Formal Ethical Clearance</w:t>
      </w:r>
      <w:bookmarkEnd w:id="12"/>
    </w:p>
    <w:p>
      <w:pPr>
        <w:pStyle w:val="Heading2"/>
      </w:pPr>
      <w:bookmarkStart w:id="13" w:name="_Toc15"/>
      <w:r>
        <w:t>Consents</w:t>
      </w:r>
      <w:bookmarkEnd w:id="13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[Project informaton not available]
[For the publication:] "[H]ow teachers organise physical and digital resources in their classrooms as well as variations in teachers' pedagogical communication."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771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2025-10-19T06:18:33+00:00</dcterms:created>
  <dcterms:modified xsi:type="dcterms:W3CDTF">2025-10-19T06:18:33+00:00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