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Making sense of making: critical issues in the integration of maker education into schools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Secondary analysis</w:t>
      </w:r>
    </w:p>
    <w:p>
      <w:pPr>
        <w:pStyle w:val="Heading2"/>
      </w:pPr>
      <w:bookmarkStart w:id="6" w:name="_Toc7"/>
      <w:r>
        <w:t>Informed Consent</w:t>
      </w:r>
      <w:bookmarkEnd w:id="6"/>
    </w:p>
    <w:p>
      <w:pPr/>
      <w:r>
        <w:rPr/>
        <w:t xml:space="preserve">No consent needed</w:t>
      </w:r>
    </w:p>
    <w:p>
      <w:pPr>
        <w:pStyle w:val="Heading2"/>
      </w:pPr>
      <w:bookmarkStart w:id="7" w:name="_Toc8"/>
      <w:r>
        <w:t>URL</w:t>
      </w:r>
      <w:bookmarkEnd w:id="7"/>
    </w:p>
    <w:p>
      <w:pPr/>
      <w:r>
        <w:rPr/>
        <w:t xml:space="preserve">https://www-tandfonline-com.ezproxy.ub.gu.se/doi/epub/10.1080/1475939X.2019.1610040?needAccess=true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"[H]ow might innovative practices (which have evolved in other settings and involve informal learning with digital technologies) be successfully received and integrated into formal education environments?" (Authors, in Conclusion)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2025-10-27T14:50:15+00:00</dcterms:created>
  <dcterms:modified xsi:type="dcterms:W3CDTF">2025-10-27T14:50:15+00:00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