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Swedish Student-Teachers in Digital Activities: Digital Competence Through Development-Oriented Thesis Projects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obtained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0" w:name="_Toc11"/>
      <w:r>
        <w:t>URL</w:t>
      </w:r>
      <w:bookmarkEnd w:id="10"/>
    </w:p>
    <w:p>
      <w:pPr/>
      <w:r>
        <w:rPr/>
        <w:t xml:space="preserve">https://papers.ssrn.com/sol3/papers.cfm?abstract_id=3412885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"To study and analyze:
• the design and form of the development-oriented thesis project
• student-teachers’ ability to carry out development-oriented projects in ICT and learning,
• obstacles and success factors in different development strategies and the activities carried out."
(Author, section 4., "Aim")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2025-10-21T23:01:12+00:00</dcterms:created>
  <dcterms:modified xsi:type="dcterms:W3CDTF">2025-10-21T23:01:12+00:00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