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Digital Competence and Ways of Thinking and Practising in Swedish Teacher Education: Experiences by teachers with a foreign teaching degree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2014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Textual / documentary / content analysis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Funder</w:t>
      </w:r>
      <w:bookmarkEnd w:id="8"/>
    </w:p>
    <w:p>
      <w:pPr/>
      <w:r>
        <w:rPr/>
        <w:t xml:space="preserve">Stockholm University</w:t>
      </w:r>
    </w:p>
    <w:p>
      <w:pPr>
        <w:pStyle w:val="Heading2"/>
      </w:pPr>
      <w:bookmarkStart w:id="9" w:name="_Toc10"/>
      <w:r>
        <w:t>Funder Types</w:t>
      </w:r>
      <w:bookmarkEnd w:id="9"/>
    </w:p>
    <w:p>
      <w:pPr/>
      <w:r>
        <w:rPr/>
        <w:t xml:space="preserve">University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teachers / caretakers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https://www.diva-portal.org/smash/get/diva2:1341596/FULLTEXT01.pdf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"The main research questions of this thesis are:
- What digital competence do migrant teachers possess?
- Which unfamiliar ways of thinking and practising do migrant teachers
experience in Swedish teacher education?"
(Author, 8)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0AAE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2025-10-29T02:57:31+00:00</dcterms:created>
  <dcterms:modified xsi:type="dcterms:W3CDTF">2025-10-29T02:57:31+00:00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