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JUNG! DIGITAL! SOZIAL?</w:t></w:r></w:p><w:p><w:pPr><w:pStyle w:val="Title"/></w:pPr><w:r><w:t>Engl. transl.: YOUNG! DIGITAL! SOCIAL?</w:t></w:r></w:p><w:p><w:pPr><w:pStyle w:val="Heading1"/></w:pPr><w:bookmarkStart w:id="1" w:name="_Toc3"/><w:r><w:t>Details</w:t></w:r><w:bookmarkEnd w:id="1"/></w:p><w:p><w:pPr><w:pStyle w:val="Heading2"/></w:pPr><w:bookmarkStart w:id="2" w:name="_Toc4"/><w:r><w:t>Year</w:t></w:r><w:bookmarkEnd w:id="2"/></w:p><w:p><w:pPr/><w:r><w:rPr/><w:t xml:space="preserve">2017</w:t></w:r></w:p><w:p><w:pPr><w:pStyle w:val="Heading2"/></w:pPr><w:bookmarkStart w:id="3" w:name="_Toc5"/><w:r><w:t>Scope</w:t></w:r><w:bookmarkEnd w:id="3"/></w:p><w:p><w:pPr/><w:r><w:rPr/><w:t xml:space="preserve">Local</w:t></w:r></w:p><w:p><w:pPr><w:pStyle w:val="Heading2"/></w:pPr><w:bookmarkStart w:id="4" w:name="_Toc6"/><w:r><w:t>Countries</w:t></w:r><w:bookmarkEnd w:id="4"/></w:p><w:p><w:pPr/><w:r><w:rPr/><w:t xml:space="preserve">Germany</w:t></w:r></w:p><w:p><w:pPr><w:pStyle w:val="Heading2"/></w:pPr><w:bookmarkStart w:id="5" w:name="_Toc7"/><w:r><w:t>Type</w:t></w:r><w:bookmarkEnd w:id="5"/></w:p><w:p><w:pPr/><w:r><w:rPr/><w:t xml:space="preserve">Empirical research – Quantitative</w:t></w:r></w:p><w:p><w:pPr><w:pStyle w:val="Heading2"/></w:pPr><w:bookmarkStart w:id="6" w:name="_Toc8"/><w:r><w:t>Methodologies</w:t></w:r><w:bookmarkEnd w:id="6"/></w:p><w:p><w:pPr/><w:r><w:rPr/><w:t xml:space="preserve">Survey</w:t></w:r></w:p><w:p><w:pPr><w:pStyle w:val="Heading2"/></w:pPr><w:bookmarkStart w:id="7" w:name="_Toc9"/><w:r><w:t>Researched Groups</w:t></w:r><w:bookmarkEnd w:id="7"/></w:p><w:p><w:pPr/><w:r><w:rPr/><w:t xml:space="preserve">Children</w:t></w:r></w:p><w:p><w:pPr><w:pStyle w:val="Heading2"/></w:pPr><w:bookmarkStart w:id="8" w:name="_Toc10"/><w:r><w:t>Children Ages</w:t></w:r><w:bookmarkEnd w:id="8"/></w:p><w:p><w:pPr><w:pStyle w:val="Heading2"/></w:pPr><w:bookmarkStart w:id="9" w:name="_Toc11"/><w:r><w:t>Funder</w:t></w:r><w:bookmarkEnd w:id="9"/></w:p><w:p><w:pPr/><w:r><w:rPr/><w:t xml:space="preserve">Vodafone Stiftung Deutschland</w:t></w:r></w:p><w:p><w:pPr><w:pStyle w:val="Heading2"/></w:pPr><w:bookmarkStart w:id="10" w:name="_Toc12"/><w:r><w:t>Funder Types</w:t></w:r><w:bookmarkEnd w:id="10"/></w:p><w:p><w:pPr/><w:r><w:rPr/><w:t xml:space="preserve">Private industry / Company</w:t></w:r></w:p><w:p><w:pPr><w:pStyle w:val="Heading2"/></w:pPr><w:bookmarkStart w:id="11" w:name="_Toc13"/><w:r><w:t>Consents</w:t></w:r><w:bookmarkEnd w:id="11"/></w:p><w:p><w:pPr><w:pStyle w:val="Heading2"/></w:pPr><w:bookmarkStart w:id="12" w:name="_Toc14"/><w:r><w:t>Informed Consent</w:t></w:r><w:bookmarkEnd w:id="12"/></w:p><w:p><w:pPr/><w:r><w:rPr/><w:t xml:space="preserve">Consent obtained</w:t></w:r></w:p><w:p><w:pPr><w:pStyle w:val="Heading2"/></w:pPr><w:bookmarkStart w:id="13" w:name="_Toc15"/><w:r><w:t>Ethics</w:t></w:r><w:bookmarkEnd w:id="13"/></w:p><w:p><w:pPr/><w:r><w:rPr/><w:t xml:space="preserve">Ethical considerations not mentioned</w:t></w:r></w:p><w:p><w:pPr><w:pStyle w:val="Heading2"/></w:pPr><w:bookmarkStart w:id="14" w:name="_Toc16"/><w:r><w:t>URL</w:t></w:r><w:bookmarkEnd w:id="14"/></w:p><w:p><w:pPr/><w:r><w:rPr/><w:t xml:space="preserve">https://www.vodafone-stiftung.de/jung-digital-sozial/</w:t></w:r></w:p><w:p><w:pPr><w:pStyle w:val="Heading2"/></w:pPr><w:bookmarkStart w:id="15" w:name="_Toc17"/><w:r><w:t>Data Set Availability</w:t></w:r><w:bookmarkEnd w:id="15"/></w:p><w:p><w:pPr/><w:r><w:rPr/><w:t xml:space="preserve">Not mentioned</w:t></w:r></w:p><w:p><w:pPr><w:pStyle w:val="Heading1"/></w:pPr><w:bookmarkStart w:id="16" w:name="_Toc18"/><w:r><w:t>Goals</w:t></w:r><w:bookmarkEnd w:id="16"/></w:p><w:p><w:pPr/><w:r><w:rPr/><w:t xml:space="preserve">"The present study takes a look at the social aspects of young people's media competence. The starting point is a multidimensional media competence model (Pfaff-Rüdiger, Riesmeyer & Kümpel, 2012), which considers media competence as the ability to fulfil three central needs through one's own media activities: the needs for competence (factual competence), autonomy (self-competence) and social connectedness (social competence). The study "Sozialkompetenz in digitalisierten Lebenswelten" focuses on the latter area of media competence with different facets of social competence, which has gained great importance because of the fundamentally changed communication behaviour of adolescents. 

Since there is a lack of both basic information on the spread of corresponding competencies and findings on influencing factors, the study pursues three goals: 
(1) to identify central areas of socially competent online behaviour among young people and to present the respective spread of corresponding social online competencies 
(2) to describe differences in social competencies and socially competent media behaviour that can be determined by socio-demographic characteristics
(3) to elaborate relevant influencing factors of socially competent behaviour in a theory-based manner. 
In this third step, the influence of knowledge, motivation and skills are considered, but also the importance of internet use, empathy, parents and peers" (Festl. et al 2019, 3).

(translated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2025-10-18T13:38:38+00:00</dcterms:created>
  <dcterms:modified xsi:type="dcterms:W3CDTF">2025-10-18T13:38:38+00:00</dcterms:modified>
</cp:coreProperties>
</file>

<file path=docProps/custom.xml><?xml version="1.0" encoding="utf-8"?>
<Properties xmlns="http://schemas.openxmlformats.org/officeDocument/2006/custom-properties" xmlns:vt="http://schemas.openxmlformats.org/officeDocument/2006/docPropsVTypes"/>
</file>