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Adequate digital competence: a close reading of the new national strategy for digitalization of the schools in Sweden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No consent needed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https://journals.oslomet.no/index.php/seminar/article/view/2982/2886</w:t>
      </w:r>
    </w:p>
    <w:p>
      <w:pPr>
        <w:pStyle w:val="Heading2"/>
      </w:pPr>
      <w:bookmarkStart w:id="8" w:name="_Toc9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0"/>
      <w:r>
        <w:t>Goals</w:t>
      </w:r>
      <w:bookmarkEnd w:id="9"/>
    </w:p>
    <w:p>
      <w:pPr/>
      <w:r>
        <w:rPr/>
        <w:t xml:space="preserve">"[T]he  aim  of  this  paper  is  to  present  a  close  reading  of  the most  recent  national  policy  in  the  area  of  ICT  in  K-12  schools  in  Sweden.  In particular,  the  paper  focuseson  how  a  specific  notion–‘adequate  digital competence’–can be understood in the policy in relation to aspects of who is in focus  for  an  adequate  digital  competence,  when  a  notion  of  adequate  digital competence  is  supposed  to  be  fixed,  and  what  a  notion  of  digital  competence should include." (Authors, 221)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2025-10-21T20:22:00+00:00</dcterms:created>
  <dcterms:modified xsi:type="dcterms:W3CDTF">2025-10-21T20:22:00+00:00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