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Paauglių rizikingo elgesio internete veiksniai</w:t>
      </w:r>
    </w:p>
    <w:p>
      <w:pPr>
        <w:pStyle w:val="Title"/>
      </w:pPr>
      <w:r>
        <w:t>Engl. transl.: Factors of adolescent risk behaviors online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1"/>
      </w:pPr>
      <w:bookmarkStart w:id="6" w:name="_Toc8"/>
      <w:r>
        <w:t>Goals</w:t>
      </w:r>
      <w:bookmarkEnd w:id="6"/>
    </w:p>
    <w:p>
      <w:pPr/>
      <w:r>
        <w:rPr/>
        <w:t xml:space="preserve">Systematize and describe factors of adolescent risky behaviors online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2025-10-26T19:39:26+00:00</dcterms:created>
  <dcterms:modified xsi:type="dcterms:W3CDTF">2025-10-26T19:39:26+00:00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