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Kompiuteriniai žaidimai ir delikventinis elgesys</w:t>
      </w:r>
    </w:p>
    <w:p>
      <w:pPr>
        <w:pStyle w:val="Title"/>
      </w:pPr>
      <w:r>
        <w:t>Engl. transl.: Computer games and adolescents delinquent behavior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Lithuania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Researched Groups</w:t>
      </w:r>
      <w:bookmarkEnd w:id="6"/>
    </w:p>
    <w:p>
      <w:pPr>
        <w:pStyle w:val="Heading2"/>
      </w:pPr>
      <w:bookmarkStart w:id="7" w:name="_Toc9"/>
      <w:r>
        <w:t>Children Ages</w:t>
      </w:r>
      <w:bookmarkEnd w:id="7"/>
    </w:p>
    <w:p>
      <w:pPr/>
      <w:r>
        <w:rPr/>
        <w:t xml:space="preserve">Adolescents (14-18 Years old)</w:t>
      </w:r>
    </w:p>
    <w:p>
      <w:pPr>
        <w:pStyle w:val="Heading2"/>
      </w:pPr>
      <w:bookmarkStart w:id="8" w:name="_Toc10"/>
      <w:r>
        <w:t>Informed Consent</w:t>
      </w:r>
      <w:bookmarkEnd w:id="8"/>
    </w:p>
    <w:p>
      <w:pPr/>
      <w:r>
        <w:rPr/>
        <w:t xml:space="preserve">Consent obtained</w:t>
      </w:r>
    </w:p>
    <w:p>
      <w:pPr>
        <w:pStyle w:val="Heading1"/>
      </w:pPr>
      <w:bookmarkStart w:id="9" w:name="_Toc11"/>
      <w:r>
        <w:t>Goals</w:t>
      </w:r>
      <w:bookmarkEnd w:id="9"/>
    </w:p>
    <w:p>
      <w:pPr/>
      <w:r>
        <w:rPr/>
        <w:t xml:space="preserve">To determine the influence of computer games for delinquent teenagers’
positive socialisation.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2025-10-26T21:42:21+00:00</dcterms:created>
  <dcterms:modified xsi:type="dcterms:W3CDTF">2025-10-26T21:42:21+00:00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