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Tablets im Familienalltag von Klein- und Vorschulkindern – Studie</w:t>
      </w:r>
    </w:p>
    <w:p>
      <w:pPr>
        <w:pStyle w:val="Title"/>
      </w:pPr>
      <w:r>
        <w:t>Engl. transl.: Tablets in the family life of toddlers and preschoolers – study</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Consents</w:t>
      </w:r>
      <w:bookmarkEnd w:id="9"/>
    </w:p>
    <w:p>
      <w:pPr/>
      <w:r>
        <w:rPr/>
        <w:t xml:space="preserve">Consent obtained from parents</w:t>
      </w:r>
    </w:p>
    <w:p>
      <w:pPr>
        <w:pStyle w:val="Heading2"/>
      </w:pPr>
      <w:bookmarkStart w:id="10" w:name="_Toc12"/>
      <w:r>
        <w:t>Informed Consent</w:t>
      </w:r>
      <w:bookmarkEnd w:id="10"/>
    </w:p>
    <w:p>
      <w:pPr/>
      <w:r>
        <w:rPr/>
        <w:t xml:space="preserve">Consent obtained</w:t>
      </w:r>
    </w:p>
    <w:p>
      <w:pPr>
        <w:pStyle w:val="Heading2"/>
      </w:pPr>
      <w:bookmarkStart w:id="11" w:name="_Toc13"/>
      <w:r>
        <w:t>Ethics</w:t>
      </w:r>
      <w:bookmarkEnd w:id="11"/>
    </w:p>
    <w:p>
      <w:pPr/>
      <w:r>
        <w:rPr/>
        <w:t xml:space="preserve">Ethical considerations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focus of the research work is the appropriation of the new media - smartphone and tablet - by children, which was recorded through participatory observations, technically supported by video documentation. Against this background, guided interviews were conducted with the parents in an open discussion situation, which aimed to obtain information about the conditions of the children's media use, without problematising their media use at the same time. The following topics were covered: Household equipment, access possibilities of the child to the devices, occasions of use, use situations, use rules, use behaviour of the child, media conflicts, chances and risks of the children's use of digital media, measures for risk minimisation and the information behaviour of the parents. The focus of the discussion was on the integration of the new children's media into everyday family life and less on aspects of parental media competence promotion or the recording of media education styles, which aim to elicit media education support needs and political recommendations for action." (Feil 2016, 44)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2025-10-23T09:53:44+00:00</dcterms:created>
  <dcterms:modified xsi:type="dcterms:W3CDTF">2025-10-23T09:53:44+00:00</dcterms:modified>
</cp:coreProperties>
</file>

<file path=docProps/custom.xml><?xml version="1.0" encoding="utf-8"?>
<Properties xmlns="http://schemas.openxmlformats.org/officeDocument/2006/custom-properties" xmlns:vt="http://schemas.openxmlformats.org/officeDocument/2006/docPropsVTypes"/>
</file>