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Digitala lärresurser I matematikundervisningen, delrapport skola: Systematisk översikt 2017:02</w:t>
      </w:r>
    </w:p>
    <w:p>
      <w:pPr>
        <w:pStyle w:val="Title"/>
      </w:pPr>
      <w:r>
        <w:t>Engl. transl.: A systematic overview of digital study resources in mathematics teaching in school: Report 2017:02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8"/>
      <w:r>
        <w:t>Researched Groups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Researched Group</w:t>
      </w:r>
      <w:bookmarkEnd w:id="7"/>
    </w:p>
    <w:p>
      <w:pPr/>
      <w:r>
        <w:rPr/>
        <w:t xml:space="preserve">Research literature</w:t>
      </w:r>
    </w:p>
    <w:p>
      <w:pPr>
        <w:pStyle w:val="Heading2"/>
      </w:pPr>
      <w:bookmarkStart w:id="8" w:name="_Toc10"/>
      <w:r>
        <w:t>Funder</w:t>
      </w:r>
      <w:bookmarkEnd w:id="8"/>
    </w:p>
    <w:p>
      <w:pPr/>
      <w:r>
        <w:rPr/>
        <w:t xml:space="preserve">Swedish Institute for Educational Research (Skolforskningsinstitutet)</w:t>
      </w:r>
    </w:p>
    <w:p>
      <w:pPr>
        <w:pStyle w:val="Heading2"/>
      </w:pPr>
      <w:bookmarkStart w:id="9" w:name="_Toc11"/>
      <w:r>
        <w:t>Funder Types</w:t>
      </w:r>
      <w:bookmarkEnd w:id="9"/>
    </w:p>
    <w:p>
      <w:pPr/>
      <w:r>
        <w:rPr/>
        <w:t xml:space="preserve">National Government / Ministry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https://www.diva-portal.org/smash/get/diva2:1257371/FULLTEXT01.pdf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The specific questions tackled in this overview are:
- The effects of mathematics teaching utilizing digital study resources on students' mathematics skills, and
- the factors that either enhance or impede this effect.
(Authors, xii; trans. by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2025-10-19T06:22:06+00:00</dcterms:created>
  <dcterms:modified xsi:type="dcterms:W3CDTF">2025-10-19T06:22:06+00:00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