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Educational Games in Practice: The Challenges Involved in Conducting a Game-Based Curriculum</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numPr>
          <w:ilvl w:val="0"/>
          <w:numId w:val="5"/>
        </w:numPr>
      </w:pPr>
      <w:r>
        <w:rPr/>
        <w:t xml:space="preserve">Case study</w:t>
      </w:r>
    </w:p>
    <w:p>
      <w:pPr>
        <w:numPr>
          <w:ilvl w:val="0"/>
          <w:numId w:val="5"/>
        </w:numPr>
      </w:pPr>
      <w:r>
        <w:rPr/>
        <w:t xml:space="preserve">Interview</w:t>
      </w:r>
    </w:p>
    <w:p>
      <w:pPr>
        <w:numPr>
          <w:ilvl w:val="0"/>
          <w:numId w:val="5"/>
        </w:numPr>
      </w:pPr>
      <w:r>
        <w:rPr/>
        <w:t xml:space="preserve">Ethnography / participant observation</w:t>
      </w:r>
    </w:p>
    <w:p>
      <w:pPr>
        <w:pStyle w:val="Heading2"/>
      </w:pPr>
      <w:bookmarkStart w:id="7" w:name="_Toc8"/>
      <w:r>
        <w:t>Researched Groups</w:t>
      </w:r>
      <w:bookmarkEnd w:id="7"/>
    </w:p>
    <w:p>
      <w:pPr>
        <w:pStyle w:val="Heading2"/>
      </w:pPr>
      <w:bookmarkStart w:id="8" w:name="_Toc9"/>
      <w:r>
        <w:t>Children Ages</w:t>
      </w:r>
      <w:bookmarkEnd w:id="8"/>
    </w:p>
    <w:p>
      <w:pPr>
        <w:pStyle w:val="Heading2"/>
      </w:pPr>
      <w:bookmarkStart w:id="9" w:name="_Toc10"/>
      <w:r>
        <w:t>Informed Consent</w:t>
      </w:r>
      <w:bookmarkEnd w:id="9"/>
    </w:p>
    <w:p>
      <w:pPr/>
      <w:r>
        <w:rPr/>
        <w:t xml:space="preserve">Consent not mentioned</w:t>
      </w:r>
    </w:p>
    <w:p>
      <w:pPr>
        <w:pStyle w:val="Heading2"/>
      </w:pPr>
      <w:bookmarkStart w:id="10" w:name="_Toc11"/>
      <w:r>
        <w:t>Ethics</w:t>
      </w:r>
      <w:bookmarkEnd w:id="10"/>
    </w:p>
    <w:p>
      <w:pPr/>
      <w:r>
        <w:rPr/>
        <w:t xml:space="preserve">Ethical considerations not mentioned</w:t>
      </w:r>
    </w:p>
    <w:p>
      <w:pPr>
        <w:pStyle w:val="Heading2"/>
      </w:pPr>
      <w:bookmarkStart w:id="11" w:name="_Toc12"/>
      <w:r>
        <w:t>URL</w:t>
      </w:r>
      <w:bookmarkEnd w:id="11"/>
    </w:p>
    <w:p>
      <w:pPr/>
      <w:r>
        <w:rPr/>
        <w:t xml:space="preserve">https://academic-publishing.org/index.php/ejel/article/view/1749/1712</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"...to address that knowledge gap, and provide a pragmatic explanation of the lack of wide- spread game integration in the education sector; namely that games are laborious and resource intensive to use, and that there are few standards established to guide educators through the complex process of integrating games into their working environments. The paper specifically focuses on examining the roles that teachers need to take on when implementing and using computer games in their classroom activities." (Authors, 123)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DDF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2025-10-18T20:05:16+00:00</dcterms:created>
  <dcterms:modified xsi:type="dcterms:W3CDTF">2025-10-18T20:05:16+00:00</dcterms:modified>
</cp:coreProperties>
</file>

<file path=docProps/custom.xml><?xml version="1.0" encoding="utf-8"?>
<Properties xmlns="http://schemas.openxmlformats.org/officeDocument/2006/custom-properties" xmlns:vt="http://schemas.openxmlformats.org/officeDocument/2006/docPropsVTypes"/>
</file>