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Barn och barndom i Nätskugga</w:t>
      </w:r>
    </w:p>
    <w:p>
      <w:pPr>
        <w:pStyle w:val="Title"/>
      </w:pPr>
      <w:r>
        <w:t>Engl. transl.: Children and childhood in the shadow of the internet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Consents</w:t>
      </w:r>
      <w:bookmarkEnd w:id="9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https://www-idunn-no.ezproxy.ub.gu.se/doi/pdf/10.18261/ISSN1891-5949-2015-01-04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In this article we cast light on the preconditions for digital participation by children and young people attending a school in a Mid-Swedish rural community. We pay particular attention on participation in relation to children's digital environment both in school and outside of school. (Authors, 38; trans. by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82B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2025-10-27T23:24:20+00:00</dcterms:created>
  <dcterms:modified xsi:type="dcterms:W3CDTF">2025-10-27T23:24:20+00:00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