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Education through digital art about art</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Other Childrens Age Group</w:t>
      </w:r>
      <w:bookmarkEnd w:id="9"/>
    </w:p>
    <w:p>
      <w:pPr/>
      <w:r>
        <w:rPr/>
        <w:t xml:space="preserve">"Secondary school students" but category does not exist in Sweden. Probably 13-16-yr-olds.</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https://www.ingentaconnect.com/content/intellect/eta/2014/00000010/00000001/art00004</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aim is to outline how the conception of the art subject can be related to the digital devices used within the subject, and to some degree how digital media are evaluated when grading students." (Authors, 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2025-10-27T23:24:19+00:00</dcterms:created>
  <dcterms:modified xsi:type="dcterms:W3CDTF">2025-10-27T23:24:19+00:00</dcterms:modified>
</cp:coreProperties>
</file>

<file path=docProps/custom.xml><?xml version="1.0" encoding="utf-8"?>
<Properties xmlns="http://schemas.openxmlformats.org/officeDocument/2006/custom-properties" xmlns:vt="http://schemas.openxmlformats.org/officeDocument/2006/docPropsVTypes"/>
</file>