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 Places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Ethnography / participant observation</w:t>
      </w:r>
    </w:p>
    <w:p>
      <w:pPr>
        <w:numPr>
          <w:ilvl w:val="0"/>
          <w:numId w:val="5"/>
        </w:numPr>
      </w:pPr>
      <w:r>
        <w:rPr/>
        <w:t xml:space="preserve">Textual / documentary / content analysis</w:t>
      </w:r>
    </w:p>
    <w:p>
      <w:pPr>
        <w:numPr>
          <w:ilvl w:val="0"/>
          <w:numId w:val="5"/>
        </w:numPr>
      </w:pPr>
      <w:r>
        <w:rPr/>
        <w:t xml:space="preserve">Other</w:t>
      </w:r>
    </w:p>
    <w:p>
      <w:pPr>
        <w:pStyle w:val="Heading2"/>
      </w:pPr>
      <w:bookmarkStart w:id="7" w:name="_Toc8"/>
      <w:r>
        <w:t>Other Methodology</w:t>
      </w:r>
      <w:bookmarkEnd w:id="7"/>
    </w:p>
    <w:p>
      <w:pPr/>
      <w:r>
        <w:rPr/>
        <w:t xml:space="preserve">Assessment data</w:t>
      </w:r>
    </w:p>
    <w:p>
      <w:pPr>
        <w:pStyle w:val="Heading2"/>
      </w:pPr>
      <w:bookmarkStart w:id="8" w:name="_Toc9"/>
      <w:r>
        <w:t>Researched Groups</w:t>
      </w:r>
      <w:bookmarkEnd w:id="8"/>
    </w:p>
    <w:p>
      <w:pPr/>
      <w:r>
        <w:rPr/>
        <w:t xml:space="preserve">Children</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18-19 years old</w:t>
      </w:r>
    </w:p>
    <w:p>
      <w:pPr>
        <w:pStyle w:val="Heading2"/>
      </w:pPr>
      <w:bookmarkStart w:id="11" w:name="_Toc12"/>
      <w:r>
        <w:t>Funder</w:t>
      </w:r>
      <w:bookmarkEnd w:id="11"/>
    </w:p>
    <w:p>
      <w:pPr/>
      <w:r>
        <w:rPr/>
        <w:t xml:space="preserve">Knut and Alice Wallenberg Foundation; The Swedish Research Council (Vetenskapsrådet)</w:t>
      </w:r>
    </w:p>
    <w:p>
      <w:pPr>
        <w:pStyle w:val="Heading2"/>
      </w:pPr>
      <w:bookmarkStart w:id="12" w:name="_Toc13"/>
      <w:r>
        <w:t>Funder Types</w:t>
      </w:r>
      <w:bookmarkEnd w:id="12"/>
    </w:p>
    <w:p>
      <w:pPr>
        <w:pStyle w:val="Heading2"/>
      </w:pPr>
      <w:bookmarkStart w:id="13" w:name="_Toc14"/>
      <w:r>
        <w:t>Has Formal Ethical Clearance</w:t>
      </w:r>
      <w:bookmarkEnd w:id="13"/>
    </w:p>
    <w:p>
      <w:pPr>
        <w:pStyle w:val="Heading2"/>
      </w:pPr>
      <w:bookmarkStart w:id="14" w:name="_Toc15"/>
      <w:r>
        <w:t>Consents</w:t>
      </w:r>
      <w:bookmarkEnd w:id="14"/>
    </w:p>
    <w:p>
      <w:pPr/>
      <w:r>
        <w:rPr/>
        <w:t xml:space="preserve">Consent obtained from children</w:t>
      </w:r>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considerations and/or protocol mentioned in the research design</w:t>
      </w:r>
    </w:p>
    <w:p>
      <w:pPr>
        <w:pStyle w:val="Heading2"/>
      </w:pPr>
      <w:bookmarkStart w:id="17" w:name="_Toc18"/>
      <w:r>
        <w:t>URL</w:t>
      </w:r>
      <w:bookmarkEnd w:id="17"/>
    </w:p>
    <w:p>
      <w:pPr/>
      <w:r>
        <w:rPr/>
        <w:t xml:space="preserve">https://www.umu.se/en/research/projects/media-places/</w:t>
      </w:r>
    </w:p>
    <w:p>
      <w:pPr>
        <w:pStyle w:val="Heading2"/>
      </w:pPr>
      <w:bookmarkStart w:id="18" w:name="_Toc19"/>
      <w:r>
        <w:t>Data Set Availability</w:t>
      </w:r>
      <w:bookmarkEnd w:id="18"/>
    </w:p>
    <w:p>
      <w:pPr/>
      <w:r>
        <w:rPr/>
        <w:t xml:space="preserve">Not mentioned</w:t>
      </w:r>
    </w:p>
    <w:p>
      <w:pPr>
        <w:pStyle w:val="Heading1"/>
      </w:pPr>
      <w:bookmarkStart w:id="19" w:name="_Toc20"/>
      <w:r>
        <w:t>Goals</w:t>
      </w:r>
      <w:bookmarkEnd w:id="19"/>
    </w:p>
    <w:p>
      <w:pPr/>
      <w:r>
        <w:rPr/>
        <w:t xml:space="preserve">"In this study I explore the processes of thinking historically and students’ knowledge construction in a digital era. The aim of this investigation is to analyze students’ use of archives and sources, both traditional and digital, in the long-term process of writing history. I consider the following questions: (1) How do upper secondary students outline papers and present historical knowledge when they use archives and sources of different forms? (2) How do upper secondary students address the core issues of historical study when they write history based upon different sources from different archives? (3) How do students perceive history writing when they use different types of historical sources and archives? (4) Is it possible that the materiality of archives and of sources influences students’ writing of history, and if so, what implications can this have for history education?" (Author, 81-82)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B71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2025-10-18T08:51:23+00:00</dcterms:created>
  <dcterms:modified xsi:type="dcterms:W3CDTF">2025-10-18T08:51:23+00:00</dcterms:modified>
</cp:coreProperties>
</file>

<file path=docProps/custom.xml><?xml version="1.0" encoding="utf-8"?>
<Properties xmlns="http://schemas.openxmlformats.org/officeDocument/2006/custom-properties" xmlns:vt="http://schemas.openxmlformats.org/officeDocument/2006/docPropsVTypes"/>
</file>