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Det Magiska Språket</w:t>
      </w:r>
    </w:p>
    <w:p>
      <w:pPr>
        <w:pStyle w:val="Title"/>
      </w:pPr>
      <w:r>
        <w:t>Engl. transl.: The Magic of Language: Young Children´s Relations to Language, Reading and Writing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https://www.buv.su.se/english/research/research-projects/list-of-research-projects-in-early-childhood-education/the-magic-of-language-young-children-s-relations-to-language-reading-and-writing-1.72729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"This project investigates young children´s relations to language, reading and writing in a globalized society. Some of the more important features of globalization could be described as concerning a changed knowledge-production, an increase in multicultural encounters, as well as in communication through visual languages. The project focuses how these broad domains affect preschool children´s learning of language, reading and writing as contents of knowledge. The project will also highlight possible didactical consequences for teaching, assessing and evaluating language, reading and writing in preschool." (https://www.buv.su.se/english/research/research-projects/list-of-research-projects-in-early-childhood-education/the-magic-of-language-young-children-s-relations-to-language-reading-and-writing-1.72729)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2025-08-31T05:23:53+00:00</dcterms:created>
  <dcterms:modified xsi:type="dcterms:W3CDTF">2025-08-31T05:23:53+00:00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