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Digital Literacies or Digital Competence: Conceptualizations in Nordic Curricula</w:t>
      </w:r>
    </w:p>
    <w:p>
      <w:pPr>
        <w:pStyle w:val="Heading1"/>
      </w:pPr>
      <w:bookmarkStart w:id="1" w:name="_Toc2"/>
      <w:r>
        <w:t>Details</w:t>
      </w:r>
      <w:bookmarkEnd w:id="1"/>
    </w:p>
    <w:p>
      <w:pPr>
        <w:pStyle w:val="Heading2"/>
      </w:pPr>
      <w:bookmarkStart w:id="2" w:name="_Toc3"/>
      <w:r>
        <w:t>Year</w:t>
      </w:r>
      <w:bookmarkEnd w:id="2"/>
    </w:p>
    <w:p>
      <w:pPr/>
      <w:r>
        <w:rPr/>
        <w:t xml:space="preserve">Not reported</w:t>
      </w:r>
    </w:p>
    <w:p>
      <w:pPr>
        <w:pStyle w:val="Heading2"/>
      </w:pPr>
      <w:bookmarkStart w:id="3" w:name="_Toc4"/>
      <w:r>
        <w:t>Scope</w:t>
      </w:r>
      <w:bookmarkEnd w:id="3"/>
    </w:p>
    <w:p>
      <w:pPr/>
      <w:r>
        <w:rPr/>
        <w:t xml:space="preserve">Multinational</w:t>
      </w:r>
    </w:p>
    <w:p>
      <w:pPr>
        <w:pStyle w:val="Heading2"/>
      </w:pPr>
      <w:bookmarkStart w:id="4" w:name="_Toc5"/>
      <w:r>
        <w:t>Countries</w:t>
      </w:r>
      <w:bookmarkEnd w:id="4"/>
    </w:p>
    <w:p>
      <w:pPr>
        <w:numPr>
          <w:ilvl w:val="0"/>
          <w:numId w:val="5"/>
        </w:numPr>
      </w:pPr>
      <w:r>
        <w:rPr/>
        <w:t xml:space="preserve">Denmark</w:t>
      </w:r>
    </w:p>
    <w:p>
      <w:pPr>
        <w:numPr>
          <w:ilvl w:val="0"/>
          <w:numId w:val="5"/>
        </w:numPr>
      </w:pPr>
      <w:r>
        <w:rPr/>
        <w:t xml:space="preserve">Finland</w:t>
      </w:r>
    </w:p>
    <w:p>
      <w:pPr>
        <w:numPr>
          <w:ilvl w:val="0"/>
          <w:numId w:val="5"/>
        </w:numPr>
      </w:pPr>
      <w:r>
        <w:rPr/>
        <w:t xml:space="preserve">Norway</w:t>
      </w:r>
    </w:p>
    <w:p>
      <w:pPr>
        <w:numPr>
          <w:ilvl w:val="0"/>
          <w:numId w:val="5"/>
        </w:numPr>
      </w:pPr>
      <w:r>
        <w:rPr/>
        <w:t xml:space="preserve">Sweden</w:t>
      </w:r>
    </w:p>
    <w:p>
      <w:pPr>
        <w:pStyle w:val="Heading2"/>
      </w:pPr>
      <w:bookmarkStart w:id="5" w:name="_Toc6"/>
      <w:r>
        <w:t>Type</w:t>
      </w:r>
      <w:bookmarkEnd w:id="5"/>
    </w:p>
    <w:p>
      <w:pPr/>
      <w:r>
        <w:rPr/>
        <w:t xml:space="preserve">Systematic review / Meta-analysis</w:t>
      </w:r>
    </w:p>
    <w:p>
      <w:pPr>
        <w:pStyle w:val="Heading2"/>
      </w:pPr>
      <w:bookmarkStart w:id="6" w:name="_Toc7"/>
      <w:r>
        <w:t>Methodologies</w:t>
      </w:r>
      <w:bookmarkEnd w:id="6"/>
    </w:p>
    <w:p>
      <w:pPr/>
      <w:r>
        <w:rPr/>
        <w:t xml:space="preserve">Textual / documentary / content analysis</w:t>
      </w:r>
    </w:p>
    <w:p>
      <w:pPr>
        <w:pStyle w:val="Heading2"/>
      </w:pPr>
      <w:bookmarkStart w:id="7" w:name="_Toc8"/>
      <w:r>
        <w:t>Researched Groups</w:t>
      </w:r>
      <w:bookmarkEnd w:id="7"/>
    </w:p>
    <w:p>
      <w:pPr/>
      <w:r>
        <w:rPr/>
        <w:t xml:space="preserve">Other</w:t>
      </w:r>
    </w:p>
    <w:p>
      <w:pPr>
        <w:pStyle w:val="Heading2"/>
      </w:pPr>
      <w:bookmarkStart w:id="8" w:name="_Toc9"/>
      <w:r>
        <w:t>Other Researched Group</w:t>
      </w:r>
      <w:bookmarkEnd w:id="8"/>
    </w:p>
    <w:p>
      <w:pPr/>
      <w:r>
        <w:rPr/>
        <w:t xml:space="preserve">Compulsory school curricula in the Nordic countries</w:t>
      </w:r>
    </w:p>
    <w:p>
      <w:pPr>
        <w:pStyle w:val="Heading2"/>
      </w:pPr>
      <w:bookmarkStart w:id="9" w:name="_Toc10"/>
      <w:r>
        <w:t>Funder</w:t>
      </w:r>
      <w:bookmarkEnd w:id="9"/>
    </w:p>
    <w:p>
      <w:pPr/>
      <w:r>
        <w:rPr/>
        <w:t xml:space="preserve">The Department of Education, Communication and Learning at Gothenburg University</w:t>
      </w:r>
    </w:p>
    <w:p>
      <w:pPr>
        <w:pStyle w:val="Heading2"/>
      </w:pPr>
      <w:bookmarkStart w:id="10" w:name="_Toc11"/>
      <w:r>
        <w:t>Funder Types</w:t>
      </w:r>
      <w:bookmarkEnd w:id="10"/>
    </w:p>
    <w:p>
      <w:pPr/>
      <w:r>
        <w:rPr/>
        <w:t xml:space="preserve">University</w:t>
      </w:r>
    </w:p>
    <w:p>
      <w:pPr>
        <w:pStyle w:val="Heading2"/>
      </w:pPr>
      <w:bookmarkStart w:id="11" w:name="_Toc12"/>
      <w:r>
        <w:t>Informed Consent</w:t>
      </w:r>
      <w:bookmarkEnd w:id="11"/>
    </w:p>
    <w:p>
      <w:pPr/>
      <w:r>
        <w:rPr/>
        <w:t xml:space="preserve">No consent needed</w:t>
      </w:r>
    </w:p>
    <w:p>
      <w:pPr>
        <w:pStyle w:val="Heading2"/>
      </w:pPr>
      <w:bookmarkStart w:id="12" w:name="_Toc13"/>
      <w:r>
        <w:t>URL</w:t>
      </w:r>
      <w:bookmarkEnd w:id="12"/>
    </w:p>
    <w:p>
      <w:pPr/>
      <w:r>
        <w:rPr/>
        <w:t xml:space="preserve">https://www.cogitatiopress.com/mediaandcommunication/article/view/1888</w:t>
      </w:r>
    </w:p>
    <w:p>
      <w:pPr>
        <w:pStyle w:val="Heading2"/>
      </w:pPr>
      <w:bookmarkStart w:id="13" w:name="_Toc14"/>
      <w:r>
        <w:t>Data Set Availability</w:t>
      </w:r>
      <w:bookmarkEnd w:id="13"/>
    </w:p>
    <w:p>
      <w:pPr/>
      <w:r>
        <w:rPr/>
        <w:t xml:space="preserve">Not mentioned</w:t>
      </w:r>
    </w:p>
    <w:p>
      <w:pPr>
        <w:pStyle w:val="Heading1"/>
      </w:pPr>
      <w:bookmarkStart w:id="14" w:name="_Toc15"/>
      <w:r>
        <w:t>Goals</w:t>
      </w:r>
      <w:bookmarkEnd w:id="14"/>
    </w:p>
    <w:p>
      <w:pPr/>
      <w:r>
        <w:rPr/>
        <w:t xml:space="preserve">"Concepts like digital literacies and digital competence are used globally but whether these terms carry the same meaning across languages and cultures or if they are understood in a similar way is another matter. By taking the Nordic curricula as examples, this article attempts to clarify similarities and differences in how the terms are conceptualized and used in Sweden, Denmark, Finland, and Norway." (Author, 26)</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D1D7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2025-10-16T23:13:13+00:00</dcterms:created>
  <dcterms:modified xsi:type="dcterms:W3CDTF">2025-10-16T23:13:13+00:00</dcterms:modified>
</cp:coreProperties>
</file>

<file path=docProps/custom.xml><?xml version="1.0" encoding="utf-8"?>
<Properties xmlns="http://schemas.openxmlformats.org/officeDocument/2006/custom-properties" xmlns:vt="http://schemas.openxmlformats.org/officeDocument/2006/docPropsVTypes"/>
</file>