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Friends, lovers, risk and intimacy: risk-taking as a socially meaningful practice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Germany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0"/>
      <w:r>
        <w:t>Informed Consent</w:t>
      </w:r>
      <w:bookmarkEnd w:id="9"/>
    </w:p>
    <w:p>
      <w:pPr/>
      <w:r>
        <w:rPr/>
        <w:t xml:space="preserve">Consent not mentioned</w:t>
      </w:r>
    </w:p>
    <w:p>
      <w:pPr>
        <w:pStyle w:val="Heading2"/>
      </w:pPr>
      <w:bookmarkStart w:id="10" w:name="_Toc11"/>
      <w:r>
        <w:t>Ethics</w:t>
      </w:r>
      <w:bookmarkEnd w:id="10"/>
    </w:p>
    <w:p>
      <w:pPr/>
      <w:r>
        <w:rPr/>
        <w:t xml:space="preserve">Ethical considerations not mentioned</w:t>
      </w:r>
    </w:p>
    <w:p>
      <w:pPr>
        <w:pStyle w:val="Heading2"/>
      </w:pPr>
      <w:bookmarkStart w:id="11" w:name="_Toc12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data collected as part of a research project on photo-sharing practices among young people on Snapchat.
Aim of the study is to understand the notion of risk in photo-sharing practices and the purpose of risk in the development of intimate relationships.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2025-10-16T01:57:25+00:00</dcterms:created>
  <dcterms:modified xsi:type="dcterms:W3CDTF">2025-10-16T01:57:25+00:00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