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Homosocial positionings and ambivalent participation: A qualitative analysis of young adults’ non-consensual sharing and viewing of privately produced sexual images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Denmark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pStyle w:val="Heading2"/>
      </w:pPr>
      <w:bookmarkStart w:id="9" w:name="_Toc10"/>
      <w:r>
        <w:t>Consents</w:t>
      </w:r>
      <w:bookmarkEnd w:id="9"/>
    </w:p>
    <w:p>
      <w:pPr/>
      <w:r>
        <w:rPr/>
        <w:t xml:space="preserve">Consent obtained from parents</w:t>
      </w:r>
    </w:p>
    <w:p>
      <w:pPr>
        <w:pStyle w:val="Heading2"/>
      </w:pPr>
      <w:bookmarkStart w:id="10" w:name="_Toc11"/>
      <w:r>
        <w:t>Informed Consent</w:t>
      </w:r>
      <w:bookmarkEnd w:id="10"/>
    </w:p>
    <w:p>
      <w:pPr/>
      <w:r>
        <w:rPr/>
        <w:t xml:space="preserve">Consent obtained</w:t>
      </w:r>
    </w:p>
    <w:p>
      <w:pPr>
        <w:pStyle w:val="Heading2"/>
      </w:pPr>
      <w:bookmarkStart w:id="11" w:name="_Toc12"/>
      <w:r>
        <w:t>Ethics</w:t>
      </w:r>
      <w:bookmarkEnd w:id="11"/>
    </w:p>
    <w:p>
      <w:pPr/>
      <w:r>
        <w:rPr/>
        <w:t xml:space="preserve">Ethical considerations not mentioned</w:t>
      </w:r>
    </w:p>
    <w:p>
      <w:pPr>
        <w:pStyle w:val="Heading2"/>
      </w:pPr>
      <w:bookmarkStart w:id="12" w:name="_Toc13"/>
      <w:r>
        <w:t>Data Set Availability</w:t>
      </w:r>
      <w:bookmarkEnd w:id="12"/>
    </w:p>
    <w:p>
      <w:pPr/>
      <w:r>
        <w:rPr/>
        <w:t xml:space="preserve">Not mentioned</w:t>
      </w:r>
    </w:p>
    <w:p>
      <w:pPr>
        <w:pStyle w:val="Heading1"/>
      </w:pPr>
      <w:bookmarkStart w:id="13" w:name="_Toc14"/>
      <w:r>
        <w:t>Goals</w:t>
      </w:r>
      <w:bookmarkEnd w:id="13"/>
    </w:p>
    <w:p>
      <w:pPr/>
      <w:r>
        <w:rPr/>
        <w:t xml:space="preserve">The study examines the non-consensual sharing and viewing of sexual images among young adults.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20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2024-05-20T18:06:34+00:00</dcterms:created>
  <dcterms:modified xsi:type="dcterms:W3CDTF">2024-05-20T18:06:34+00:00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