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“Tailored pornography”. Content, context and consent in young women’s sexting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Young adults (19-24 Years old)</w:t>
      </w:r>
    </w:p>
    <w:p>
      <w:pPr>
        <w:pStyle w:val="Heading2"/>
      </w:pPr>
      <w:bookmarkStart w:id="9" w:name="_Toc10"/>
      <w:r>
        <w:t>Informed Consent</w:t>
      </w:r>
      <w:bookmarkEnd w:id="9"/>
    </w:p>
    <w:p>
      <w:pPr/>
      <w:r>
        <w:rPr/>
        <w:t xml:space="preserve">Consent not mentioned</w:t>
      </w:r>
    </w:p>
    <w:p>
      <w:pPr>
        <w:pStyle w:val="Heading2"/>
      </w:pPr>
      <w:bookmarkStart w:id="10" w:name="_Toc11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2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3"/>
      <w:r>
        <w:t>Goals</w:t>
      </w:r>
      <w:bookmarkEnd w:id="12"/>
    </w:p>
    <w:p>
      <w:pPr/>
      <w:r>
        <w:rPr/>
        <w:t xml:space="preserve">Explores how sexting practices are related to views on and uses of pornography.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2025-10-31T01:12:20+00:00</dcterms:created>
  <dcterms:modified xsi:type="dcterms:W3CDTF">2025-10-31T01:12:20+00:00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