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Sociale netværkssider og digital ungdomskultur: Når unge praktiserer venskab på nettet</w:t>
      </w:r>
    </w:p>
    <w:p>
      <w:pPr>
        <w:pStyle w:val="Title"/>
      </w:pPr>
      <w:r>
        <w:t>Engl. transl.: Social Network Sites and Digital Youth Culture: When young people practice friendship online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Aim is to describe what social networking sites are, as well as how they are used as part of the everyday life of the youth generation to maintain social relationships.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0A8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2025-10-14T13:54:44+00:00</dcterms:created>
  <dcterms:modified xsi:type="dcterms:W3CDTF">2025-10-14T13:54:44+00:00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