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Metodiske tilgange til digital ungdomsforskning: Refleksioner over forskning i unges brug af weblogs og fotodelingsapplikationen Snapchat</w:t>
      </w:r>
    </w:p>
    <w:p>
      <w:pPr>
        <w:pStyle w:val="Title"/>
      </w:pPr>
      <w:r>
        <w:t>Engl. transl.: Methodical approaches to digital youth research: Reflexions concerning research in young people's use of weblogs and the photo application Snapchat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7"/>
      <w:r>
        <w:t>Researched Groups</w:t>
      </w:r>
      <w:bookmarkEnd w:id="5"/>
    </w:p>
    <w:p>
      <w:pPr/>
      <w:r>
        <w:rPr/>
        <w:t xml:space="preserve">Children</w:t>
      </w:r>
    </w:p>
    <w:p>
      <w:pPr>
        <w:pStyle w:val="Heading2"/>
      </w:pPr>
      <w:bookmarkStart w:id="6" w:name="_Toc8"/>
      <w:r>
        <w:t>Children Ages</w:t>
      </w:r>
      <w:bookmarkEnd w:id="6"/>
    </w:p>
    <w:p>
      <w:pPr>
        <w:pStyle w:val="Heading2"/>
      </w:pPr>
      <w:bookmarkStart w:id="7" w:name="_Toc9"/>
      <w:r>
        <w:t>Informed Consent</w:t>
      </w:r>
      <w:bookmarkEnd w:id="7"/>
    </w:p>
    <w:p>
      <w:pPr/>
      <w:r>
        <w:rPr/>
        <w:t xml:space="preserve">Consent not mentioned</w:t>
      </w:r>
    </w:p>
    <w:p>
      <w:pPr>
        <w:pStyle w:val="Heading2"/>
      </w:pPr>
      <w:bookmarkStart w:id="8" w:name="_Toc10"/>
      <w:r>
        <w:t>Ethics</w:t>
      </w:r>
      <w:bookmarkEnd w:id="8"/>
    </w:p>
    <w:p>
      <w:pPr/>
      <w:r>
        <w:rPr/>
        <w:t xml:space="preserve">Ethical considerations not mentioned</w:t>
      </w:r>
    </w:p>
    <w:p>
      <w:pPr>
        <w:pStyle w:val="Heading2"/>
      </w:pPr>
      <w:bookmarkStart w:id="9" w:name="_Toc11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2"/>
      <w:r>
        <w:t>Goals</w:t>
      </w:r>
      <w:bookmarkEnd w:id="10"/>
    </w:p>
    <w:p>
      <w:pPr/>
      <w:r>
        <w:rPr/>
        <w:t xml:space="preserve">Young people's use of weblogs and snapchat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2025-10-19T03:44:14+00:00</dcterms:created>
  <dcterms:modified xsi:type="dcterms:W3CDTF">2025-10-19T03:44:14+00:00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