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Gender and gaming practices among Danish youth : Køn og spilpraksisser hos danske unge</w:t>
      </w:r>
    </w:p>
    <w:p>
      <w:pPr>
        <w:pStyle w:val="Title"/>
      </w:pPr>
      <w:r>
        <w:t>Engl. transl.: Gender and gaming practices among Danish youth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8"/>
      <w:r>
        <w:t>Informed Consent</w:t>
      </w:r>
      <w:bookmarkEnd w:id="6"/>
    </w:p>
    <w:p>
      <w:pPr/>
      <w:r>
        <w:rPr/>
        <w:t xml:space="preserve">Consent not mentioned</w:t>
      </w:r>
    </w:p>
    <w:p>
      <w:pPr>
        <w:pStyle w:val="Heading2"/>
      </w:pPr>
      <w:bookmarkStart w:id="7" w:name="_Toc9"/>
      <w:r>
        <w:t>Ethics</w:t>
      </w:r>
      <w:bookmarkEnd w:id="7"/>
    </w:p>
    <w:p>
      <w:pPr/>
      <w:r>
        <w:rPr/>
        <w:t xml:space="preserve">Ethical considerations not mentioned</w:t>
      </w:r>
    </w:p>
    <w:p>
      <w:pPr>
        <w:pStyle w:val="Heading2"/>
      </w:pPr>
      <w:bookmarkStart w:id="8" w:name="_Toc10"/>
      <w:r>
        <w:t>Data Set Availability</w:t>
      </w:r>
      <w:bookmarkEnd w:id="8"/>
    </w:p>
    <w:p>
      <w:pPr/>
      <w:r>
        <w:rPr/>
        <w:t xml:space="preserve">Not mentioned</w:t>
      </w:r>
    </w:p>
    <w:p>
      <w:pPr>
        <w:pStyle w:val="Heading1"/>
      </w:pPr>
      <w:bookmarkStart w:id="9" w:name="_Toc11"/>
      <w:r>
        <w:t>Goals</w:t>
      </w:r>
      <w:bookmarkEnd w:id="9"/>
    </w:p>
    <w:p>
      <w:pPr/>
      <w:r>
        <w:rPr/>
        <w:t xml:space="preserve">Gender and gaming practices among Danish youth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2025-10-18T22:22:08+00:00</dcterms:created>
  <dcterms:modified xsi:type="dcterms:W3CDTF">2025-10-18T22:22:08+00:00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