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Svenskarna med funktionsnedsättning och internet (SMFOI)</w:t>
      </w:r>
    </w:p>
    <w:p>
      <w:pPr>
        <w:pStyle w:val="Title"/>
      </w:pPr>
      <w:r>
        <w:t>Engl. transl.: Swedes with disabilities and the internet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3% of participants were 16 years or younger; 19% were aged 17-30 (i.e., some were 17-18).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Swedis Post and Telecom Authority (PTS); The Swedish Consumer Agency (Konsumentverket); the Swedish Agency for Innovation Systems (Vinnova); Begripsam AB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https://www.pts.se/sv/bransch/internet/digital-delaktighet-och-inkluderande-kommunikationslosningar/kunskapsbank-rapporter-studier-kartlaggningar/undersokningen-svenskarna-med-funktionsnedsattning-och-internet/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"The purpose of this study was to describe use of and perceived difficulties in use of the internet among people with disabilities and to explore digital divides in-between and within disability groups, and in comparison with the general population." (Authors, 105-106)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2025-04-26T16:28:18+00:00</dcterms:created>
  <dcterms:modified xsi:type="dcterms:W3CDTF">2025-04-26T16:28:18+00:00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