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Effects of an automated digital brief prevention intervention targeting adolescents and young adults with risky alcohol and other substance use: study protocol for a randomised controlled trial</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Other</w:t>
      </w:r>
    </w:p>
    <w:p>
      <w:pPr>
        <w:pStyle w:val="Heading2"/>
      </w:pPr>
      <w:bookmarkStart w:id="7" w:name="_Toc8"/>
      <w:r>
        <w:t>Other Methodology</w:t>
      </w:r>
      <w:bookmarkEnd w:id="7"/>
    </w:p>
    <w:p>
      <w:pPr/>
      <w:r>
        <w:rPr/>
        <w:t xml:space="preserve">A two-arm, double-blind, randomised controlled trial</w:t>
      </w:r>
    </w:p>
    <w:p>
      <w:pPr>
        <w:pStyle w:val="Heading2"/>
      </w:pPr>
      <w:bookmarkStart w:id="8" w:name="_Toc9"/>
      <w:r>
        <w:t>Researched Groups</w:t>
      </w:r>
      <w:bookmarkEnd w:id="8"/>
    </w:p>
    <w:p>
      <w:pPr/>
      <w:r>
        <w:rPr/>
        <w:t xml:space="preserve">Other</w:t>
      </w:r>
    </w:p>
    <w:p>
      <w:pPr>
        <w:pStyle w:val="Heading2"/>
      </w:pPr>
      <w:bookmarkStart w:id="9" w:name="_Toc10"/>
      <w:r>
        <w:t>Other Researched Group</w:t>
      </w:r>
      <w:bookmarkEnd w:id="9"/>
    </w:p>
    <w:p>
      <w:pPr/>
      <w:r>
        <w:rPr/>
        <w:t xml:space="preserve">Adolescents and young adults aged 15 to 25 years</w:t>
      </w:r>
    </w:p>
    <w:p>
      <w:pPr>
        <w:pStyle w:val="Heading2"/>
      </w:pPr>
      <w:bookmarkStart w:id="10" w:name="_Toc11"/>
      <w:r>
        <w:t>Children Ages</w:t>
      </w:r>
      <w:bookmarkEnd w:id="10"/>
    </w:p>
    <w:p>
      <w:pPr/>
      <w:r>
        <w:rPr/>
        <w:t xml:space="preserve">Other</w:t>
      </w:r>
    </w:p>
    <w:p>
      <w:pPr>
        <w:pStyle w:val="Heading2"/>
      </w:pPr>
      <w:bookmarkStart w:id="11" w:name="_Toc12"/>
      <w:r>
        <w:t>Other Childrens Age Group</w:t>
      </w:r>
      <w:bookmarkEnd w:id="11"/>
    </w:p>
    <w:p>
      <w:pPr/>
      <w:r>
        <w:rPr/>
        <w:t xml:space="preserve">15-18 years old</w:t>
      </w:r>
    </w:p>
    <w:p>
      <w:pPr>
        <w:pStyle w:val="Heading2"/>
      </w:pPr>
      <w:bookmarkStart w:id="12" w:name="_Toc13"/>
      <w:r>
        <w:t>Funder</w:t>
      </w:r>
      <w:bookmarkEnd w:id="12"/>
    </w:p>
    <w:p>
      <w:pPr/>
      <w:r>
        <w:rPr/>
        <w:t xml:space="preserve">The National Public Health Agency of Sweden; the Alcohol Research Council of the Swedish Alcohol Retailing Monopoly</w:t>
      </w:r>
    </w:p>
    <w:p>
      <w:pPr>
        <w:pStyle w:val="Heading2"/>
      </w:pPr>
      <w:bookmarkStart w:id="13" w:name="_Toc14"/>
      <w:r>
        <w:t>Funder Types</w:t>
      </w:r>
      <w:bookmarkEnd w:id="13"/>
    </w:p>
    <w:p>
      <w:pPr/>
      <w:r>
        <w:rPr/>
        <w:t xml:space="preserve">National Government / Ministry</w:t>
      </w:r>
    </w:p>
    <w:p>
      <w:pPr>
        <w:pStyle w:val="Heading2"/>
      </w:pPr>
      <w:bookmarkStart w:id="14" w:name="_Toc15"/>
      <w:r>
        <w:t>Has Formal Ethical Clearance</w:t>
      </w:r>
      <w:bookmarkEnd w:id="14"/>
    </w:p>
    <w:p>
      <w:pPr>
        <w:pStyle w:val="Heading2"/>
      </w:pPr>
      <w:bookmarkStart w:id="15" w:name="_Toc16"/>
      <w:r>
        <w:t>Consents</w:t>
      </w:r>
      <w:bookmarkEnd w:id="15"/>
    </w:p>
    <w:p>
      <w:pPr/>
      <w:r>
        <w:rPr/>
        <w:t xml:space="preserve">Other</w:t>
      </w:r>
    </w:p>
    <w:p>
      <w:pPr>
        <w:pStyle w:val="Heading2"/>
      </w:pPr>
      <w:bookmarkStart w:id="16" w:name="_Toc17"/>
      <w:r>
        <w:t>Informed Consent</w:t>
      </w:r>
      <w:bookmarkEnd w:id="16"/>
    </w:p>
    <w:p>
      <w:pPr/>
      <w:r>
        <w:rPr/>
        <w:t xml:space="preserve">Consent obtained</w:t>
      </w:r>
    </w:p>
    <w:p>
      <w:pPr>
        <w:pStyle w:val="Heading2"/>
      </w:pPr>
      <w:bookmarkStart w:id="17" w:name="_Toc18"/>
      <w:r>
        <w:t>Ethics</w:t>
      </w:r>
      <w:bookmarkEnd w:id="17"/>
    </w:p>
    <w:p>
      <w:pPr/>
      <w:r>
        <w:rPr/>
        <w:t xml:space="preserve">Ethical considerations and/or protocol mentioned in the research design</w:t>
      </w:r>
    </w:p>
    <w:p>
      <w:pPr>
        <w:pStyle w:val="Heading2"/>
      </w:pPr>
      <w:bookmarkStart w:id="18" w:name="_Toc19"/>
      <w:r>
        <w:t>URL</w:t>
      </w:r>
      <w:bookmarkEnd w:id="18"/>
    </w:p>
    <w:p>
      <w:pPr/>
      <w:r>
        <w:rPr/>
        <w:t xml:space="preserve">https://bmjopen.bmj.com/content/10/5/e034894</w:t>
      </w:r>
    </w:p>
    <w:p>
      <w:pPr>
        <w:pStyle w:val="Heading2"/>
      </w:pPr>
      <w:bookmarkStart w:id="19" w:name="_Toc20"/>
      <w:r>
        <w:t>Data Set Availability</w:t>
      </w:r>
      <w:bookmarkEnd w:id="19"/>
    </w:p>
    <w:p>
      <w:pPr/>
      <w:r>
        <w:rPr/>
        <w:t xml:space="preserve">Data availability statement in the publication</w:t>
      </w:r>
    </w:p>
    <w:p>
      <w:pPr>
        <w:pStyle w:val="Heading1"/>
      </w:pPr>
      <w:bookmarkStart w:id="20" w:name="_Toc21"/>
      <w:r>
        <w:t>Goals</w:t>
      </w:r>
      <w:bookmarkEnd w:id="20"/>
    </w:p>
    <w:p>
      <w:pPr/>
      <w:r>
        <w:rPr/>
        <w:t xml:space="preserve">"The study described in this protocol builds on results previously obtained in a European study of a digital brief MI-based substance use prevention intervention (WISEteens), delivered online to adolescents in a fully automated form. In this study, the effectiveness of a modified version of this intervention, with new graphics and population based feedback-generating data on alcohol consumption covering all included age groups, will be tested across a range of outcome measures among 15 to 25 year olds with hazardous alcohol or other substance use. The primary aim is reduction in frequency and quantity of substance use." (Authors, 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2025-10-16T20:22:49+00:00</dcterms:created>
  <dcterms:modified xsi:type="dcterms:W3CDTF">2025-10-16T20:22:49+00:00</dcterms:modified>
</cp:coreProperties>
</file>

<file path=docProps/custom.xml><?xml version="1.0" encoding="utf-8"?>
<Properties xmlns="http://schemas.openxmlformats.org/officeDocument/2006/custom-properties" xmlns:vt="http://schemas.openxmlformats.org/officeDocument/2006/docPropsVTypes"/>
</file>