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netTEEN („Wie nett sind Teens im Internet“)</w:t>
      </w:r>
    </w:p>
    <w:p>
      <w:pPr>
        <w:pStyle w:val="Title"/>
      </w:pPr>
      <w:r>
        <w:t>Engl. transl.: netTEEN ("How nice are teens on the Internet")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Switzerland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Swiss National Science Foundation, SNSF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Investigate similarities and differences between traditional bullying and cyberbullying. Identify possible risk factors for being a victim and/or a perpetrator. Investigate how these forms of aggressive behavior affect victims and perpetrators, and how those affected can (successfully) deal with them.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2025-10-31T23:55:15+00:00</dcterms:created>
  <dcterms:modified xsi:type="dcterms:W3CDTF">2025-10-31T23:55:15+00:00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