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Kindern Medien Monitor 2020 (KiMMo)</w:t>
      </w:r>
    </w:p>
    <w:p>
      <w:pPr>
        <w:pStyle w:val="Title"/>
      </w:pPr>
      <w:r>
        <w:t>Engl. transl.: Children Media Monitor 2020 (KiMMo)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Egmont Ehapa Media GmbH, Gruner + Jahr GmbH, Panini Verlags GmbH, SPIEGEL-Verlag und ZEIT Verlag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https://www.kinder-medien-monitor.de/studienbeschreibung/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The study has two main goals. The first being a base for strategic planning of the media-mix in advertising and marketing aimed towards children. The second being to contribute representative data regarding children's media usage.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E07C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2025-10-15T04:22:05+00:00</dcterms:created>
  <dcterms:modified xsi:type="dcterms:W3CDTF">2025-10-15T04:22:05+00:00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