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Sprog for leg: med det digitale</w:t>
      </w:r>
    </w:p>
    <w:p>
      <w:pPr>
        <w:pStyle w:val="Title"/>
      </w:pPr>
      <w:r>
        <w:t>Engl. transl.: Language for play: with the digital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9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10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Digital play with language/words in Danish schools. 
media-related play practices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2025-10-21T18:28:23+00:00</dcterms:created>
  <dcterms:modified xsi:type="dcterms:W3CDTF">2025-10-21T18:28:23+00:00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