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Unga konsumenter och reklam i det nya medielandskapet</w:t></w:r></w:p><w:p><w:pPr><w:pStyle w:val="Title"/></w:pPr><w:r><w:t>Engl. transl.: Young consumers and advertising in the new media landscape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Other</w:t></w:r></w:p><w:p><w:pPr><w:pStyle w:val="Heading2"/></w:pPr><w:bookmarkStart w:id="4" w:name="_Toc6"/><w:r><w:t>Type</w:t></w:r><w:bookmarkEnd w:id="4"/></w:p><w:p><w:pPr/><w:r><w:rPr/><w:t xml:space="preserve">Other</w:t></w:r></w:p><w:p><w:pPr><w:pStyle w:val="Heading2"/></w:pPr><w:bookmarkStart w:id="5" w:name="_Toc7"/><w:r><w:t>Methodologies</w:t></w:r><w:bookmarkEnd w:id="5"/></w:p><w:p><w:pPr/><w:r><w:rPr/><w:t xml:space="preserve">Other</w:t></w:r></w:p><w:p><w:pPr><w:pStyle w:val="Heading2"/></w:pPr><w:bookmarkStart w:id="6" w:name="_Toc8"/><w:r><w:t>Other Methodology</w:t></w:r><w:bookmarkEnd w:id="6"/></w:p><w:p><w:pPr/><w:r><w:rPr/><w:t xml:space="preserve">Research overview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Funder</w:t></w:r><w:bookmarkEnd w:id="8"/></w:p><w:p><w:pPr/><w:r><w:rPr/><w:t xml:space="preserve">The Swedish Consumer Agency (Konsumentverket)</w:t></w:r></w:p><w:p><w:pPr><w:pStyle w:val="Heading2"/></w:pPr><w:bookmarkStart w:id="9" w:name="_Toc11"/><w:r><w:t>Funder Types</w:t></w:r><w:bookmarkEnd w:id="9"/></w:p><w:p><w:pPr/><w:r><w:rPr/><w:t xml:space="preserve">Other</w:t></w:r></w:p><w:p><w:pPr><w:pStyle w:val="Heading2"/></w:pPr><w:bookmarkStart w:id="10" w:name="_Toc12"/><w:r><w:t>Other Funder Type</w:t></w:r><w:bookmarkEnd w:id="10"/></w:p><w:p><w:pPr/><w:r><w:rPr/><w:t xml:space="preserve">State agency</w:t></w:r></w:p><w:p><w:pPr><w:pStyle w:val="Heading2"/></w:pPr><w:bookmarkStart w:id="11" w:name="_Toc13"/><w:r><w:t>Informed Consent</w:t></w:r><w:bookmarkEnd w:id="11"/></w:p><w:p><w:pPr/><w:r><w:rPr/><w:t xml:space="preserve">No consent needed</w:t></w:r></w:p><w:p><w:pPr><w:pStyle w:val="Heading2"/></w:pPr><w:bookmarkStart w:id="12" w:name="_Toc14"/><w:r><w:t>Ethics</w:t></w:r><w:bookmarkEnd w:id="12"/></w:p><w:p><w:pPr/><w:r><w:rPr/><w:t xml:space="preserve">Other</w:t></w:r></w:p><w:p><w:pPr><w:pStyle w:val="Heading2"/></w:pPr><w:bookmarkStart w:id="13" w:name="_Toc15"/><w:r><w:t>Other Ethical Procedure</w:t></w:r><w:bookmarkEnd w:id="13"/></w:p><w:p><w:pPr/><w:r><w:rPr/><w:t xml:space="preserve">Not relevant</w:t></w:r></w:p><w:p><w:pPr><w:pStyle w:val="Heading2"/></w:pPr><w:bookmarkStart w:id="14" w:name="_Toc16"/><w:r><w:t>URL</w:t></w:r><w:bookmarkEnd w:id="14"/></w:p><w:p><w:pPr/><w:r><w:rPr/><w:t xml:space="preserve">https://lucris.lub.lu.se/ws/portalfiles/portal/55463952/rapport_2018_14_kunskapsoversikter_konsumentpolitiska_omradet_2018_konsumentverket.pdf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Overview of research and current knowledge regarding children & young people, their media use, and online advertising.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2025-05-09T23:24:07+00:00</dcterms:created>
  <dcterms:modified xsi:type="dcterms:W3CDTF">2025-05-09T23:24:07+00:00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