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Marknadsmässig kurragömmalek?: Barn, unga och dold reklam</w:t>
      </w:r>
    </w:p>
    <w:p>
      <w:pPr>
        <w:pStyle w:val="Title"/>
      </w:pPr>
      <w:r>
        <w:t>Engl. transl.: Hide-and-seek within marketing: Children, adolescents and candid advertisement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(Different chapters report on reseach using different methods.)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Swedish Media Council (Statens Medieråd); The Nordic Council of Ministers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State agency; intergovernmental body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https://www.nordicom.gu.se/sites/default/files/publikationer-hela-pdf/marknadsmassig_kurragommalek.pdf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Various research-based perspectives on children and young people navigating the online world of media content and hidden advertising.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2025-10-16T15:15:59+00:00</dcterms:created>
  <dcterms:modified xsi:type="dcterms:W3CDTF">2025-10-16T15:15:59+00:00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