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VEGA 1/0042/17: Rizikové správanie v adolescencii, jeho incidencia a ovplyvňujúce faktory</w:t>
      </w:r>
    </w:p>
    <w:p>
      <w:pPr>
        <w:pStyle w:val="Title"/>
      </w:pPr>
      <w:r>
        <w:t>Engl. transl.: Slovak Ministry of Education and the Slovak Academy of Sciences (VEGA) No. 1/0042/17 “Risk Behaviour in Adolescence,"</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Ministry of Education and Slovak Academy of Sciences</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Research focused on risky behaviour among adolescents such as drug and alcohol use and delinquent behaviour, while aiming at identifying possible factors related to the above mentioned behaviour. 
Among the factors, variables like media use and family enviroment were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2025-10-27T01:05:34+00:00</dcterms:created>
  <dcterms:modified xsi:type="dcterms:W3CDTF">2025-10-27T01:05:34+00:00</dcterms:modified>
</cp:coreProperties>
</file>

<file path=docProps/custom.xml><?xml version="1.0" encoding="utf-8"?>
<Properties xmlns="http://schemas.openxmlformats.org/officeDocument/2006/custom-properties" xmlns:vt="http://schemas.openxmlformats.org/officeDocument/2006/docPropsVTypes"/>
</file>