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Autoethnography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Not specified. The games examined are played by children and adults (player ages not disclosed).</w:t>
      </w:r>
    </w:p>
    <w:p>
      <w:pPr>
        <w:pStyle w:val="Heading2"/>
      </w:pPr>
      <w:bookmarkStart w:id="10" w:name="_Toc11"/>
      <w:r>
        <w:t>Funder</w:t>
      </w:r>
      <w:bookmarkEnd w:id="10"/>
    </w:p>
    <w:p>
      <w:pPr/>
      <w:r>
        <w:rPr/>
        <w:t xml:space="preserve">Swedish Knowledge Foundation (KK-stiftelsen);  the Swedish Research Council (Vetenskapsrådet); the Integrated Project TA2, Together Anytime, Together Anywhere</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National Research Council</w:t>
      </w:r>
    </w:p>
    <w:p>
      <w:pPr>
        <w:numPr>
          <w:ilvl w:val="0"/>
          <w:numId w:val="5"/>
        </w:numPr>
      </w:pPr>
      <w:r>
        <w:rPr/>
        <w:t xml:space="preserve">European Union / Commission</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http://todigra.org/index.php/todigra/article/view/15/25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this article we investigate what it means for a play activity to take place in a social setting that for the participants is cut off from other settings outside the game session. What are the mechanisms for inclusion and exclusion in these situations? How are identities and social positions in and outside of the game session negotiated? What role does the particular design of the game play in structuring these activities?"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DB9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2024-11-23T02:02:30+00:00</dcterms:created>
  <dcterms:modified xsi:type="dcterms:W3CDTF">2024-11-23T02:02:30+00:00</dcterms:modified>
</cp:coreProperties>
</file>

<file path=docProps/custom.xml><?xml version="1.0" encoding="utf-8"?>
<Properties xmlns="http://schemas.openxmlformats.org/officeDocument/2006/custom-properties" xmlns:vt="http://schemas.openxmlformats.org/officeDocument/2006/docPropsVTypes"/>
</file>