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A national survey of early adopters of e-book reading in Sweden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2012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Sweden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Survey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Other</w:t>
      </w:r>
    </w:p>
    <w:p>
      <w:pPr>
        <w:pStyle w:val="Heading2"/>
      </w:pPr>
      <w:bookmarkStart w:id="8" w:name="_Toc9"/>
      <w:r>
        <w:t>Other Researched Group</w:t>
      </w:r>
      <w:bookmarkEnd w:id="8"/>
    </w:p>
    <w:p>
      <w:pPr/>
      <w:r>
        <w:rPr/>
        <w:t xml:space="preserve">The Swedish population aged between 16 and 85</w:t>
      </w:r>
    </w:p>
    <w:p>
      <w:pPr>
        <w:pStyle w:val="Heading2"/>
      </w:pPr>
      <w:bookmarkStart w:id="9" w:name="_Toc10"/>
      <w:r>
        <w:t>Children Ages</w:t>
      </w:r>
      <w:bookmarkEnd w:id="9"/>
    </w:p>
    <w:p>
      <w:pPr/>
      <w:r>
        <w:rPr/>
        <w:t xml:space="preserve">Other</w:t>
      </w:r>
    </w:p>
    <w:p>
      <w:pPr>
        <w:pStyle w:val="Heading2"/>
      </w:pPr>
      <w:bookmarkStart w:id="10" w:name="_Toc11"/>
      <w:r>
        <w:t>Other Childrens Age Group</w:t>
      </w:r>
      <w:bookmarkEnd w:id="10"/>
    </w:p>
    <w:p>
      <w:pPr/>
      <w:r>
        <w:rPr/>
        <w:t xml:space="preserve">16-18 years old</w:t>
      </w:r>
    </w:p>
    <w:p>
      <w:pPr>
        <w:pStyle w:val="Heading2"/>
      </w:pPr>
      <w:bookmarkStart w:id="11" w:name="_Toc12"/>
      <w:r>
        <w:t>Funder</w:t>
      </w:r>
      <w:bookmarkEnd w:id="11"/>
    </w:p>
    <w:p>
      <w:pPr/>
      <w:r>
        <w:rPr/>
        <w:t xml:space="preserve">The Swedish Research Council (Vetenskapsrådet)</w:t>
      </w:r>
    </w:p>
    <w:p>
      <w:pPr>
        <w:pStyle w:val="Heading2"/>
      </w:pPr>
      <w:bookmarkStart w:id="12" w:name="_Toc13"/>
      <w:r>
        <w:t>Funder Types</w:t>
      </w:r>
      <w:bookmarkEnd w:id="12"/>
    </w:p>
    <w:p>
      <w:pPr/>
      <w:r>
        <w:rPr/>
        <w:t xml:space="preserve">National Research Council</w:t>
      </w:r>
    </w:p>
    <w:p>
      <w:pPr>
        <w:pStyle w:val="Heading2"/>
      </w:pPr>
      <w:bookmarkStart w:id="13" w:name="_Toc14"/>
      <w:r>
        <w:t>Informed Consent</w:t>
      </w:r>
      <w:bookmarkEnd w:id="13"/>
    </w:p>
    <w:p>
      <w:pPr/>
      <w:r>
        <w:rPr/>
        <w:t xml:space="preserve">No consent needed</w:t>
      </w:r>
    </w:p>
    <w:p>
      <w:pPr>
        <w:pStyle w:val="Heading2"/>
      </w:pPr>
      <w:bookmarkStart w:id="14" w:name="_Toc15"/>
      <w:r>
        <w:t>URL</w:t>
      </w:r>
      <w:bookmarkEnd w:id="14"/>
    </w:p>
    <w:p>
      <w:pPr/>
      <w:r>
        <w:rPr/>
        <w:t xml:space="preserve">http://www.informationr.net/ir/19-2/paper621.html#.YdNmNS8w3UI</w:t>
      </w:r>
    </w:p>
    <w:p>
      <w:pPr>
        <w:pStyle w:val="Heading2"/>
      </w:pPr>
      <w:bookmarkStart w:id="15" w:name="_Toc16"/>
      <w:r>
        <w:t>Data Set Availability</w:t>
      </w:r>
      <w:bookmarkEnd w:id="15"/>
    </w:p>
    <w:p>
      <w:pPr/>
      <w:r>
        <w:rPr/>
        <w:t xml:space="preserve">Not mentioned</w:t>
      </w:r>
    </w:p>
    <w:p>
      <w:pPr>
        <w:pStyle w:val="Heading1"/>
      </w:pPr>
      <w:bookmarkStart w:id="16" w:name="_Toc17"/>
      <w:r>
        <w:t>Goals</w:t>
      </w:r>
      <w:bookmarkEnd w:id="16"/>
    </w:p>
    <w:p>
      <w:pPr/>
      <w:r>
        <w:rPr/>
        <w:t xml:space="preserve">"RQ1: What are the reading habits for fiction and non-fiction e-books in the population?
RQ2: How do e-book reading habits differ among different demographic groups?
RQ3: How is e-book reading related to print book reading and other digital reading habits?"
(Authors, in Introduction)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10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2025-04-10T22:59:56+00:00</dcterms:created>
  <dcterms:modified xsi:type="dcterms:W3CDTF">2025-04-10T22:59:56+00:00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