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News Habits Among Adolescents: The Influence of Family Communication on Adolescents’ News Media Use—Evidence From a Three-Wave Panel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Sweden</w:t></w:r></w:p><w:p><w:pPr><w:pStyle w:val="Heading2"/></w:pPr><w:bookmarkStart w:id="5" w:name="_Toc6"/><w:r><w:t>Type</w:t></w:r><w:bookmarkEnd w:id="5"/></w:p><w:p><w:pPr/><w:r><w:rPr/><w:t xml:space="preserve">Other</w:t></w:r></w:p><w:p><w:pPr><w:pStyle w:val="Heading2"/></w:pPr><w:bookmarkStart w:id="6" w:name="_Toc7"/><w:r><w:t>Researched Groups</w:t></w:r><w:bookmarkEnd w:id="6"/></w:p><w:p><w:pPr/><w:r><w:rPr/><w:t xml:space="preserve">Children</w:t></w:r></w:p><w:p><w:pPr><w:pStyle w:val="Heading2"/></w:pPr><w:bookmarkStart w:id="7" w:name="_Toc8"/><w:r><w:t>Funder</w:t></w:r><w:bookmarkEnd w:id="7"/></w:p><w:p><w:pPr/><w:r><w:rPr/><w:t xml:space="preserve">Riksbankens Jubileumsfond</w:t></w:r></w:p><w:p><w:pPr><w:pStyle w:val="Heading2"/></w:pPr><w:bookmarkStart w:id="8" w:name="_Toc9"/><w:r><w:t>Funder Types</w:t></w:r><w:bookmarkEnd w:id="8"/></w:p><w:p><w:pPr/><w:r><w:rPr/><w:t xml:space="preserve">Foundation</w:t></w:r></w:p><w:p><w:pPr><w:pStyle w:val="Heading2"/></w:pPr><w:bookmarkStart w:id="9" w:name="_Toc10"/><w:r><w:t>URL</w:t></w:r><w:bookmarkEnd w:id="9"/></w:p><w:p><w:pPr/><w:r><w:rPr/><w:t xml:space="preserve">https://www-tandfonline-com.ezproxy.ub.gu.se/doi/full/10.1080/15205436.2016.1199705?scroll=top&needAccess=true</w:t></w:r></w:p><w:p><w:pPr><w:pStyle w:val="Heading1"/></w:pPr><w:bookmarkStart w:id="10" w:name="_Toc11"/><w:r><w:t>Goals</w:t></w:r><w:bookmarkEnd w:id="10"/></w:p><w:p><w:pPr/><w:r><w:rPr/><w:t xml:space="preserve">"...this study analyzes the development, stability, and family influences on Swedish adolescents’ news habits over time." (Author, in Abstract)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2025-10-31T11:05:45+00:00</dcterms:created>
  <dcterms:modified xsi:type="dcterms:W3CDTF">2025-10-31T11:05:45+00:00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