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Barnbruden ”Thea” – om barnbloggen som utställning och samtidsarena för konstruktioner av barndom</w:t>
      </w:r>
    </w:p>
    <w:p>
      <w:pPr>
        <w:pStyle w:val="Title"/>
      </w:pPr>
      <w:r>
        <w:t>Engl. transl.: Child Bride "Thea": Children's blogs as an exhibition and contemporary arena for constructions of childhood</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Other</w:t>
      </w:r>
    </w:p>
    <w:p>
      <w:pPr>
        <w:pStyle w:val="Heading2"/>
      </w:pPr>
      <w:bookmarkStart w:id="4" w:name="_Toc6"/>
      <w:r>
        <w:t>Countries</w:t>
      </w:r>
      <w:bookmarkEnd w:id="4"/>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Other</w:t>
      </w:r>
    </w:p>
    <w:p>
      <w:pPr>
        <w:pStyle w:val="Heading2"/>
      </w:pPr>
      <w:bookmarkStart w:id="7" w:name="_Toc9"/>
      <w:r>
        <w:t>Other Methodology</w:t>
      </w:r>
      <w:bookmarkEnd w:id="7"/>
    </w:p>
    <w:p>
      <w:pPr/>
      <w:r>
        <w:rPr/>
        <w:t xml:space="preserve">Intersectional discourse analysis with visual elements</w:t>
      </w:r>
    </w:p>
    <w:p>
      <w:pPr>
        <w:pStyle w:val="Heading2"/>
      </w:pPr>
      <w:bookmarkStart w:id="8" w:name="_Toc10"/>
      <w:r>
        <w:t>Researched Groups</w:t>
      </w:r>
      <w:bookmarkEnd w:id="8"/>
    </w:p>
    <w:p>
      <w:pPr/>
      <w:r>
        <w:rPr/>
        <w:t xml:space="preserve">Children</w:t>
      </w:r>
    </w:p>
    <w:p>
      <w:pPr>
        <w:pStyle w:val="Heading2"/>
      </w:pPr>
      <w:bookmarkStart w:id="9" w:name="_Toc11"/>
      <w:r>
        <w:t>Informed Consent</w:t>
      </w:r>
      <w:bookmarkEnd w:id="9"/>
    </w:p>
    <w:p>
      <w:pPr/>
      <w:r>
        <w:rPr/>
        <w:t xml:space="preserve">No consent needed</w:t>
      </w:r>
    </w:p>
    <w:p>
      <w:pPr>
        <w:pStyle w:val="Heading2"/>
      </w:pPr>
      <w:bookmarkStart w:id="10" w:name="_Toc12"/>
      <w:r>
        <w:t>Ethics</w:t>
      </w:r>
      <w:bookmarkEnd w:id="10"/>
    </w:p>
    <w:p>
      <w:pPr/>
      <w:r>
        <w:rPr/>
        <w:t xml:space="preserve">Ethical considerations not mentioned</w:t>
      </w:r>
    </w:p>
    <w:p>
      <w:pPr>
        <w:pStyle w:val="Heading2"/>
      </w:pPr>
      <w:bookmarkStart w:id="11" w:name="_Toc13"/>
      <w:r>
        <w:t>URL</w:t>
      </w:r>
      <w:bookmarkEnd w:id="11"/>
    </w:p>
    <w:p>
      <w:pPr/>
      <w:r>
        <w:rPr/>
        <w:t xml:space="preserve">https://ojs.mau.se/index.php/educare/issue/view/47/Educare_2016.1.pdf</w:t>
      </w:r>
    </w:p>
    <w:p>
      <w:pPr>
        <w:pStyle w:val="Heading1"/>
      </w:pPr>
      <w:bookmarkStart w:id="12" w:name="_Toc14"/>
      <w:r>
        <w:t>Goals</w:t>
      </w:r>
      <w:bookmarkEnd w:id="12"/>
    </w:p>
    <w:p>
      <w:pPr/>
      <w:r>
        <w:rPr/>
        <w:t xml:space="preserve">"This article is an attempt to shed light on the importance of an intersectional approach in the analysis of childhood constructions in social media. On the basis of a fictional child blog made up by Plan Norway, as part of a controversial campaign against child marriage, this article focuses on age, but also, gender, sexuality and ethnicity as main social variables in the process of constructing “Another” Scandinavian child portrait. An exhibitional approach involving both text and visuality is used in an extended discussion of online constructions of childhood."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2025-10-18T08:44:35+00:00</dcterms:created>
  <dcterms:modified xsi:type="dcterms:W3CDTF">2025-10-18T08:44:35+00:00</dcterms:modified>
</cp:coreProperties>
</file>

<file path=docProps/custom.xml><?xml version="1.0" encoding="utf-8"?>
<Properties xmlns="http://schemas.openxmlformats.org/officeDocument/2006/custom-properties" xmlns:vt="http://schemas.openxmlformats.org/officeDocument/2006/docPropsVTypes"/>
</file>