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Traces of engagement: Narrative-making practices with smartphones on a museum field trip</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Structured worksheet; Video recordings; Student media producctions (photographs, videos)</w:t>
      </w:r>
    </w:p>
    <w:p>
      <w:pPr>
        <w:pStyle w:val="Heading2"/>
      </w:pPr>
      <w:bookmarkStart w:id="8" w:name="_Toc9"/>
      <w:r>
        <w:t>Researched Groups</w:t>
      </w:r>
      <w:bookmarkEnd w:id="8"/>
    </w:p>
    <w:p>
      <w:pPr/>
      <w:r>
        <w:rPr/>
        <w:t xml:space="preserve">Children</w:t>
      </w:r>
    </w:p>
    <w:p>
      <w:pPr>
        <w:pStyle w:val="Heading2"/>
      </w:pPr>
      <w:bookmarkStart w:id="9" w:name="_Toc10"/>
      <w:r>
        <w:t>Funder</w:t>
      </w:r>
      <w:bookmarkEnd w:id="9"/>
    </w:p>
    <w:p>
      <w:pPr/>
      <w:r>
        <w:rPr/>
        <w:t xml:space="preserve">The University of Gothenburg Learning and Media Technology Studio (LETStudio)</w:t>
      </w:r>
    </w:p>
    <w:p>
      <w:pPr>
        <w:pStyle w:val="Heading2"/>
      </w:pPr>
      <w:bookmarkStart w:id="10" w:name="_Toc11"/>
      <w:r>
        <w:t>Funder Types</w:t>
      </w:r>
      <w:bookmarkEnd w:id="10"/>
    </w:p>
    <w:p>
      <w:pPr/>
      <w:r>
        <w:rPr/>
        <w:t xml:space="preserve">University</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https://www.tandfonline.com/doi/full/10.1080/17439884.2015.1064443</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"In this paper, we approach the topics of learning and engagement by investigating how school children engage with exhibits using their own technologies. More specifically, we examine the traces students leave during the visit in the form of the paths they take and the multimedia products they create." (Authors, in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2025-10-18T03:26:00+00:00</dcterms:created>
  <dcterms:modified xsi:type="dcterms:W3CDTF">2025-10-18T03:26:00+00:00</dcterms:modified>
</cp:coreProperties>
</file>

<file path=docProps/custom.xml><?xml version="1.0" encoding="utf-8"?>
<Properties xmlns="http://schemas.openxmlformats.org/officeDocument/2006/custom-properties" xmlns:vt="http://schemas.openxmlformats.org/officeDocument/2006/docPropsVTypes"/>
</file>